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版本号：SXWZ2026ZB-XJS-137.1B120260804001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大容量棉花纤维测试仪采购(二次)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SXWZ2026ZB-XJS-137.1B1</w:t>
      </w:r>
      <w:r>
        <w:br/>
      </w:r>
      <w:r>
        <w:br/>
      </w:r>
      <w:r>
        <w:br/>
      </w:r>
    </w:p>
    <w:p>
      <w:pPr>
        <w:pStyle w:val="null3"/>
        <w:jc w:val="center"/>
        <w:outlineLvl w:val="2"/>
      </w:pPr>
      <w:r>
        <w:rPr>
          <w:rFonts w:ascii="仿宋_GB2312" w:hAnsi="仿宋_GB2312" w:cs="仿宋_GB2312" w:eastAsia="仿宋_GB2312"/>
          <w:sz w:val="28"/>
          <w:b/>
        </w:rPr>
        <w:t>西安纤维纺织品监督检验所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西安纤维纺织品监督检验所</w:t>
      </w:r>
      <w:r>
        <w:rPr>
          <w:rFonts w:ascii="仿宋_GB2312" w:hAnsi="仿宋_GB2312" w:cs="仿宋_GB2312" w:eastAsia="仿宋_GB2312"/>
        </w:rPr>
        <w:t>委托，拟对</w:t>
      </w:r>
      <w:r>
        <w:rPr>
          <w:rFonts w:ascii="仿宋_GB2312" w:hAnsi="仿宋_GB2312" w:cs="仿宋_GB2312" w:eastAsia="仿宋_GB2312"/>
        </w:rPr>
        <w:t>大容量棉花纤维测试仪采购(二次)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SXWZ2026ZB-XJS-137.1B1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大容量棉花纤维测试仪采购(二次)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大容量棉花纤维测试仪采购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采购包1（大容量棉花纤维测试仪）：属于专门面向中小企业采购。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3、社会保障资金缴纳证明：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4、税收缴纳证明：提供2026年01月至今已缴纳的至少一个月的纳税证明或完税证明；依法免税的单位应提供相关证明材料。（以税收所属时期为准）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6、供应商信誉证明：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提供书面声明）。</w:t>
      </w:r>
    </w:p>
    <w:p>
      <w:pPr>
        <w:pStyle w:val="null3"/>
      </w:pPr>
      <w:r>
        <w:rPr>
          <w:rFonts w:ascii="仿宋_GB2312" w:hAnsi="仿宋_GB2312" w:cs="仿宋_GB2312" w:eastAsia="仿宋_GB2312"/>
        </w:rPr>
        <w:t>7、中小企业声明函：本项目专门面向中小企业采购，请提供中小企业声明函</w:t>
      </w:r>
    </w:p>
    <w:p>
      <w:pPr>
        <w:pStyle w:val="null3"/>
      </w:pPr>
      <w:r>
        <w:rPr>
          <w:rFonts w:ascii="仿宋_GB2312" w:hAnsi="仿宋_GB2312" w:cs="仿宋_GB2312" w:eastAsia="仿宋_GB2312"/>
        </w:rPr>
        <w:t>8、非联合体声明：本项目不接受联合体投标（格式自拟）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西安纤维纺织品监督检验所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西安纤维纺织品监督检验所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029-81779515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西安市高新区唐延路旺座现代城 C 座 25 楼 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张航波 张刘艳 郝思思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029-88319689转8006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关于招标代理服务收费有关问题的通知》（发改办价格[2003]857号）文件规定执行。招标代理服务费不足6000元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西安纤维纺织品监督检验所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西安纤维纺织品监督检验所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西安纤维纺织品监督检验所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符合招标文件要求</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张航波</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地址：西安市高新区唐延路旺座现代城 C 座 25 楼 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大容量棉花纤维测试仪采购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大容量棉花测试仪采购</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标的名称：大容量棉花测试仪采购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shd w:fill="FFFFFF" w:val="clear"/>
              </w:rPr>
              <w:t>1、釆购明细名称、数量</w:t>
            </w:r>
          </w:p>
          <w:tbl>
            <w:tblPr>
              <w:tblBorders>
                <w:top w:val="none" w:color="000000" w:sz="4"/>
                <w:left w:val="none" w:color="000000" w:sz="4"/>
                <w:bottom w:val="none" w:color="000000" w:sz="4"/>
                <w:right w:val="none" w:color="000000" w:sz="4"/>
                <w:insideH w:val="none"/>
                <w:insideV w:val="none"/>
              </w:tblBorders>
            </w:tblPr>
            <w:tblGrid>
              <w:gridCol w:w="458"/>
              <w:gridCol w:w="841"/>
              <w:gridCol w:w="378"/>
              <w:gridCol w:w="509"/>
              <w:gridCol w:w="368"/>
            </w:tblGrid>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w:t>
                  </w:r>
                </w:p>
              </w:tc>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进口</w:t>
                  </w:r>
                  <w:r>
                    <w:rPr>
                      <w:rFonts w:ascii="仿宋_GB2312" w:hAnsi="仿宋_GB2312" w:cs="仿宋_GB2312" w:eastAsia="仿宋_GB2312"/>
                      <w:sz w:val="21"/>
                    </w:rPr>
                    <w:t>/国产</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大容量棉花检测设备</w:t>
                  </w:r>
                </w:p>
              </w:tc>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bl>
          <w:p>
            <w:pPr>
              <w:pStyle w:val="null3"/>
            </w:pPr>
            <w:r>
              <w:rPr>
                <w:rFonts w:ascii="仿宋_GB2312" w:hAnsi="仿宋_GB2312" w:cs="仿宋_GB2312" w:eastAsia="仿宋_GB2312"/>
                <w:sz w:val="21"/>
                <w:b/>
                <w:shd w:fill="FFFFFF" w:val="clear"/>
              </w:rPr>
              <w:t>2、</w:t>
            </w:r>
            <w:r>
              <w:rPr>
                <w:rFonts w:ascii="仿宋_GB2312" w:hAnsi="仿宋_GB2312" w:cs="仿宋_GB2312" w:eastAsia="仿宋_GB2312"/>
                <w:sz w:val="21"/>
                <w:b/>
                <w:shd w:fill="FFFFFF" w:val="clear"/>
              </w:rPr>
              <w:t>设备</w:t>
            </w:r>
            <w:r>
              <w:rPr>
                <w:rFonts w:ascii="仿宋_GB2312" w:hAnsi="仿宋_GB2312" w:cs="仿宋_GB2312" w:eastAsia="仿宋_GB2312"/>
                <w:sz w:val="21"/>
                <w:b/>
                <w:shd w:fill="FFFFFF" w:val="clear"/>
              </w:rPr>
              <w:t>用途</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本仪器主要用于专业纤维检验机构、依据中国纤维质量监测中心</w:t>
            </w:r>
            <w:r>
              <w:rPr>
                <w:rFonts w:ascii="仿宋_GB2312" w:hAnsi="仿宋_GB2312" w:cs="仿宋_GB2312" w:eastAsia="仿宋_GB2312"/>
                <w:sz w:val="21"/>
              </w:rPr>
              <w:t>有关大容量棉花纤维测试仪相关规范、规程要求，同时满足</w:t>
            </w:r>
            <w:r>
              <w:rPr>
                <w:rFonts w:ascii="仿宋_GB2312" w:hAnsi="仿宋_GB2312" w:cs="仿宋_GB2312" w:eastAsia="仿宋_GB2312"/>
                <w:sz w:val="21"/>
              </w:rPr>
              <w:t>GB 1103.1-2023：棉花 第1部分：锯齿加工细绒棉、GB 1103.2-2012：棉花 第2部分：皮辊加工细绒棉及GB/T 20392-2023：棉纤维物理性能试验方法 大容量纤维测试仪法等标准要求，</w:t>
            </w:r>
            <w:r>
              <w:rPr>
                <w:rFonts w:ascii="仿宋_GB2312" w:hAnsi="仿宋_GB2312" w:cs="仿宋_GB2312" w:eastAsia="仿宋_GB2312"/>
                <w:sz w:val="21"/>
              </w:rPr>
              <w:t>开展棉花质量仪器化公证检验工作，用于测试棉花的上半部平均长度、平均长度、长度整齐度指数、短纤维指数、断裂比强度、马克隆值、反射率、黄色深度、杂质面积、杂质颗粒数等品质指标。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仪器安装后通过验收，并与中国纤维质量监测中心联网开展棉花质量仪器化公证检验工作</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需提供所投产品参与棉花公证检验工作证明材料</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b/>
              </w:rPr>
              <w:t>3、技术及功能要求：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仪器由长强主机</w:t>
            </w:r>
            <w:r>
              <w:rPr>
                <w:rFonts w:ascii="仿宋_GB2312" w:hAnsi="仿宋_GB2312" w:cs="仿宋_GB2312" w:eastAsia="仿宋_GB2312"/>
                <w:sz w:val="21"/>
              </w:rPr>
              <w:t>(包括长度/强度模块和电控箱)、色征主机(包括马克隆模块和色泽/杂质模块)两台主机及附属电路、气路组成的棉纤维检验仪器,其中色征主机应集成</w:t>
            </w:r>
            <w:r>
              <w:rPr>
                <w:rFonts w:ascii="仿宋_GB2312" w:hAnsi="仿宋_GB2312" w:cs="仿宋_GB2312" w:eastAsia="仿宋_GB2312"/>
                <w:sz w:val="21"/>
              </w:rPr>
              <w:t>主处理</w:t>
            </w:r>
            <w:r>
              <w:rPr>
                <w:rFonts w:ascii="仿宋_GB2312" w:hAnsi="仿宋_GB2312" w:cs="仿宋_GB2312" w:eastAsia="仿宋_GB2312"/>
                <w:sz w:val="21"/>
              </w:rPr>
              <w:t>控制器</w:t>
            </w:r>
            <w:r>
              <w:rPr>
                <w:rFonts w:ascii="仿宋_GB2312" w:hAnsi="仿宋_GB2312" w:cs="仿宋_GB2312" w:eastAsia="仿宋_GB2312"/>
                <w:sz w:val="21"/>
              </w:rPr>
              <w:t>、显示器、键盘、鼠标、打印机、电子天平、条形码读码器。</w:t>
            </w:r>
          </w:p>
          <w:p>
            <w:pPr>
              <w:pStyle w:val="null3"/>
              <w:ind w:firstLine="420"/>
              <w:jc w:val="both"/>
            </w:pPr>
            <w:r>
              <w:rPr>
                <w:rFonts w:ascii="仿宋_GB2312" w:hAnsi="仿宋_GB2312" w:cs="仿宋_GB2312" w:eastAsia="仿宋_GB2312"/>
                <w:sz w:val="21"/>
              </w:rPr>
              <w:t>整机正常工作电压</w:t>
            </w:r>
            <w:r>
              <w:rPr>
                <w:rFonts w:ascii="仿宋_GB2312" w:hAnsi="仿宋_GB2312" w:cs="仿宋_GB2312" w:eastAsia="仿宋_GB2312"/>
                <w:sz w:val="21"/>
              </w:rPr>
              <w:t>220V。</w:t>
            </w:r>
          </w:p>
          <w:p>
            <w:pPr>
              <w:pStyle w:val="null3"/>
              <w:ind w:firstLine="420"/>
              <w:jc w:val="both"/>
            </w:pPr>
            <w:r>
              <w:rPr>
                <w:rFonts w:ascii="仿宋_GB2312" w:hAnsi="仿宋_GB2312" w:cs="仿宋_GB2312" w:eastAsia="仿宋_GB2312"/>
                <w:sz w:val="21"/>
              </w:rPr>
              <w:t>整机功能模块包括长度</w:t>
            </w:r>
            <w:r>
              <w:rPr>
                <w:rFonts w:ascii="仿宋_GB2312" w:hAnsi="仿宋_GB2312" w:cs="仿宋_GB2312" w:eastAsia="仿宋_GB2312"/>
                <w:sz w:val="21"/>
              </w:rPr>
              <w:t>/强度测量模块、马克隆测量模块、色泽/杂质测量模块、计算机控制系统。</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工业级</w:t>
            </w:r>
            <w:r>
              <w:rPr>
                <w:rFonts w:ascii="仿宋_GB2312" w:hAnsi="仿宋_GB2312" w:cs="仿宋_GB2312" w:eastAsia="仿宋_GB2312"/>
                <w:sz w:val="21"/>
              </w:rPr>
              <w:t>主处理控制器，采用服务器级稳定计算机，适用</w:t>
            </w:r>
            <w:r>
              <w:rPr>
                <w:rFonts w:ascii="仿宋_GB2312" w:hAnsi="仿宋_GB2312" w:cs="仿宋_GB2312" w:eastAsia="仿宋_GB2312"/>
                <w:sz w:val="21"/>
              </w:rPr>
              <w:t>中国纤维质量监测中心</w:t>
            </w:r>
            <w:r>
              <w:rPr>
                <w:rFonts w:ascii="仿宋_GB2312" w:hAnsi="仿宋_GB2312" w:cs="仿宋_GB2312" w:eastAsia="仿宋_GB2312"/>
                <w:sz w:val="21"/>
              </w:rPr>
              <w:t>相关软件及信息系统，性能稳定可靠，</w:t>
            </w:r>
            <w:r>
              <w:rPr>
                <w:rFonts w:ascii="仿宋_GB2312" w:hAnsi="仿宋_GB2312" w:cs="仿宋_GB2312" w:eastAsia="仿宋_GB2312"/>
                <w:sz w:val="21"/>
              </w:rPr>
              <w:t>电脑内存</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512G</w:t>
            </w:r>
            <w:r>
              <w:rPr>
                <w:rFonts w:ascii="仿宋_GB2312" w:hAnsi="仿宋_GB2312" w:cs="仿宋_GB2312" w:eastAsia="仿宋_GB2312"/>
                <w:sz w:val="21"/>
              </w:rPr>
              <w:t>，机箱要有防尘功能，主板要有足够的接口满足仪器自身控制和使用需求</w:t>
            </w:r>
            <w:r>
              <w:rPr>
                <w:rFonts w:ascii="仿宋_GB2312" w:hAnsi="仿宋_GB2312" w:cs="仿宋_GB2312" w:eastAsia="仿宋_GB2312"/>
                <w:sz w:val="21"/>
              </w:rPr>
              <w:t>，能够适应棉花公证检验实验室长期数个月的连续运行，并且能够充分保证测试数据的安全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3）显示器为触摸屏液晶显示器、键盘和鼠标为无线方式，操作简单，使用方便。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4）电子天平，内置的过载保护功能，符合中国标准的 AC 适配器，具有计件称量、百分比称量，可选的显示增量，能实现快速称量。可在各种称量单位之间进行切换：g,kg,mg,ct,lb,oz,ozt,GN, dwt,momme,mesghal,tael,tical,tola,bath。</w:t>
            </w:r>
            <w:r>
              <w:rPr>
                <w:rFonts w:ascii="仿宋_GB2312" w:hAnsi="仿宋_GB2312" w:cs="仿宋_GB2312" w:eastAsia="仿宋_GB2312"/>
                <w:sz w:val="21"/>
              </w:rPr>
              <w:t>称量范围</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0g，可读性 ≤0.01g、线性度≤ 0.03g、</w:t>
            </w:r>
            <w:r>
              <w:rPr>
                <w:rFonts w:ascii="仿宋_GB2312" w:hAnsi="仿宋_GB2312" w:cs="仿宋_GB2312" w:eastAsia="仿宋_GB2312"/>
                <w:sz w:val="21"/>
              </w:rPr>
              <w:t>可重复性</w:t>
            </w:r>
            <w:r>
              <w:rPr>
                <w:rFonts w:ascii="仿宋_GB2312" w:hAnsi="仿宋_GB2312" w:cs="仿宋_GB2312" w:eastAsia="仿宋_GB2312"/>
                <w:sz w:val="21"/>
              </w:rPr>
              <w:t>≤0.01g。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5）条形码读取器，抗摔程度：能经受</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1.5m 高度坠落；解码能力：识读标准的 1D、PDF、2D、邮政编码 OCR 字符体系。</w:t>
            </w:r>
          </w:p>
          <w:p>
            <w:pPr>
              <w:pStyle w:val="null3"/>
              <w:ind w:firstLine="420"/>
              <w:jc w:val="both"/>
            </w:pPr>
            <w:r>
              <w:rPr>
                <w:rFonts w:ascii="仿宋_GB2312" w:hAnsi="仿宋_GB2312" w:cs="仿宋_GB2312" w:eastAsia="仿宋_GB2312"/>
                <w:sz w:val="21"/>
              </w:rPr>
              <w:t>▲（6）测试效率：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00 个样品/8 小时（每个样品包括两把梳夹长度、强度，一次马克隆、四次色泽/杂质，4 个色泽/杂质测试不需要操作员翻样。</w:t>
            </w:r>
          </w:p>
          <w:p>
            <w:pPr>
              <w:pStyle w:val="null3"/>
              <w:ind w:firstLine="420"/>
              <w:jc w:val="both"/>
            </w:pPr>
            <w:r>
              <w:rPr>
                <w:rFonts w:ascii="仿宋_GB2312" w:hAnsi="仿宋_GB2312" w:cs="仿宋_GB2312" w:eastAsia="仿宋_GB2312"/>
                <w:sz w:val="21"/>
              </w:rPr>
              <w:t>▲（7）双颜色/杂质模块同时测试，使用 LED 光源，</w:t>
            </w:r>
            <w:r>
              <w:rPr>
                <w:rFonts w:ascii="仿宋_GB2312" w:hAnsi="仿宋_GB2312" w:cs="仿宋_GB2312" w:eastAsia="仿宋_GB2312"/>
                <w:sz w:val="21"/>
              </w:rPr>
              <w:t>或其他光源（符合棉花测试的</w:t>
            </w:r>
            <w:r>
              <w:rPr>
                <w:rFonts w:ascii="仿宋_GB2312" w:hAnsi="仿宋_GB2312" w:cs="仿宋_GB2312" w:eastAsia="仿宋_GB2312"/>
                <w:sz w:val="21"/>
              </w:rPr>
              <w:t>D75稳定光源（7500±200）K）。</w:t>
            </w:r>
          </w:p>
          <w:p>
            <w:pPr>
              <w:pStyle w:val="null3"/>
              <w:ind w:firstLine="420"/>
              <w:jc w:val="both"/>
            </w:pPr>
            <w:r>
              <w:rPr>
                <w:rFonts w:ascii="仿宋_GB2312" w:hAnsi="仿宋_GB2312" w:cs="仿宋_GB2312" w:eastAsia="仿宋_GB2312"/>
                <w:sz w:val="21"/>
              </w:rPr>
              <w:t>▲（8）长度/强度测量，</w:t>
            </w:r>
            <w:r>
              <w:rPr>
                <w:rFonts w:ascii="仿宋_GB2312" w:hAnsi="仿宋_GB2312" w:cs="仿宋_GB2312" w:eastAsia="仿宋_GB2312"/>
                <w:sz w:val="21"/>
              </w:rPr>
              <w:t>采用回转式双取样桶等自动取样方式;能达到同时取两把梳样;两把梳夹所取样品需厚薄均匀，取样量一致</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9）仪器系统测量，长度/强度模块、马克隆模块、颜色/杂质模块并行测量，效率高。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）验收时</w:t>
            </w:r>
            <w:r>
              <w:rPr>
                <w:rFonts w:ascii="仿宋_GB2312" w:hAnsi="仿宋_GB2312" w:cs="仿宋_GB2312" w:eastAsia="仿宋_GB2312"/>
                <w:sz w:val="21"/>
              </w:rPr>
              <w:t>应</w:t>
            </w:r>
            <w:r>
              <w:rPr>
                <w:rFonts w:ascii="仿宋_GB2312" w:hAnsi="仿宋_GB2312" w:cs="仿宋_GB2312" w:eastAsia="仿宋_GB2312"/>
                <w:sz w:val="21"/>
              </w:rPr>
              <w:t>满足如下要求：</w:t>
            </w:r>
          </w:p>
          <w:p>
            <w:pPr>
              <w:pStyle w:val="null3"/>
              <w:ind w:firstLine="420"/>
              <w:jc w:val="both"/>
            </w:pPr>
            <w:r>
              <w:rPr>
                <w:rFonts w:ascii="仿宋_GB2312" w:hAnsi="仿宋_GB2312" w:cs="仿宋_GB2312" w:eastAsia="仿宋_GB2312"/>
                <w:sz w:val="21"/>
              </w:rPr>
              <w:t>仪器安装完成后，马克隆值、长度</w:t>
            </w:r>
            <w:r>
              <w:rPr>
                <w:rFonts w:ascii="仿宋_GB2312" w:hAnsi="仿宋_GB2312" w:cs="仿宋_GB2312" w:eastAsia="仿宋_GB2312"/>
                <w:sz w:val="21"/>
              </w:rPr>
              <w:t>/强度、颜色、杂质模块必须通过校准、验收试验、性能测试、强度测试；验收方法和程序严格按照中国纤维质量监测中心下发的安装、验收文件要求程序和方法进行，要求一次性通过验收试验、性能测试，中途不能废弃数据。要求提供近3年所投产品按照中国纤维质量监测中心下发的安装、验收文件要求程序和方法通过验收试验、性能试验的截图</w:t>
            </w:r>
            <w:r>
              <w:rPr>
                <w:rFonts w:ascii="仿宋_GB2312" w:hAnsi="仿宋_GB2312" w:cs="仿宋_GB2312" w:eastAsia="仿宋_GB2312"/>
                <w:sz w:val="21"/>
              </w:rPr>
              <w:t>，并对所提供材料的真实性承担全部责任。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）仪器有棉花仪器化公证检验工作的操作规程和校验规范，并且包含明确的关于供货仪器的详细使用方法和校准方法。</w:t>
            </w:r>
          </w:p>
          <w:p>
            <w:pPr>
              <w:pStyle w:val="null3"/>
              <w:ind w:firstLine="420"/>
              <w:jc w:val="both"/>
            </w:pPr>
            <w:r>
              <w:rPr>
                <w:rFonts w:ascii="仿宋_GB2312" w:hAnsi="仿宋_GB2312" w:cs="仿宋_GB2312" w:eastAsia="仿宋_GB2312"/>
                <w:sz w:val="21"/>
                <w:b/>
              </w:rPr>
              <w:t>▲4、技术指标不低于如下要求</w:t>
            </w:r>
          </w:p>
          <w:p>
            <w:pPr>
              <w:pStyle w:val="null3"/>
              <w:jc w:val="center"/>
            </w:pPr>
            <w:r>
              <w:rPr>
                <w:rFonts w:ascii="仿宋_GB2312" w:hAnsi="仿宋_GB2312" w:cs="仿宋_GB2312" w:eastAsia="仿宋_GB2312"/>
                <w:sz w:val="28"/>
                <w:b/>
              </w:rPr>
              <w:t xml:space="preserve"> </w:t>
            </w:r>
            <w:r>
              <w:rPr>
                <w:rFonts w:ascii="仿宋_GB2312" w:hAnsi="仿宋_GB2312" w:cs="仿宋_GB2312" w:eastAsia="仿宋_GB2312"/>
                <w:sz w:val="28"/>
                <w:b/>
              </w:rPr>
              <w:t>棉纤维物理性能测试方法的精密度</w:t>
            </w:r>
          </w:p>
          <w:tbl>
            <w:tblPr>
              <w:tblInd w:type="dxa" w:w="120"/>
              <w:tblBorders>
                <w:top w:val="none" w:color="000000" w:sz="4"/>
                <w:left w:val="none" w:color="000000" w:sz="4"/>
                <w:bottom w:val="none" w:color="000000" w:sz="4"/>
                <w:right w:val="none" w:color="000000" w:sz="4"/>
                <w:insideH w:val="none"/>
                <w:insideV w:val="none"/>
              </w:tblBorders>
            </w:tblPr>
            <w:tblGrid>
              <w:gridCol w:w="416"/>
              <w:gridCol w:w="350"/>
              <w:gridCol w:w="345"/>
              <w:gridCol w:w="317"/>
              <w:gridCol w:w="359"/>
              <w:gridCol w:w="355"/>
              <w:gridCol w:w="388"/>
            </w:tblGrid>
            <w:tr>
              <w:tc>
                <w:tcPr>
                  <w:tcW w:type="dxa" w:w="4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物理性能</w:t>
                  </w:r>
                </w:p>
                <w:p>
                  <w:pPr>
                    <w:pStyle w:val="null3"/>
                    <w:jc w:val="center"/>
                  </w:pPr>
                  <w:r>
                    <w:rPr>
                      <w:rFonts w:ascii="仿宋_GB2312" w:hAnsi="仿宋_GB2312" w:cs="仿宋_GB2312" w:eastAsia="仿宋_GB2312"/>
                      <w:sz w:val="21"/>
                    </w:rPr>
                    <w:t>指标</w:t>
                  </w:r>
                </w:p>
              </w:tc>
              <w:tc>
                <w:tcPr>
                  <w:tcW w:type="dxa" w:w="6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颜色</w:t>
                  </w:r>
                </w:p>
              </w:tc>
              <w:tc>
                <w:tcPr>
                  <w:tcW w:type="dxa" w:w="3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马克隆值</w:t>
                  </w:r>
                </w:p>
              </w:tc>
              <w:tc>
                <w:tcPr>
                  <w:tcW w:type="dxa" w:w="35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长度</w:t>
                  </w:r>
                  <w:r>
                    <w:rPr>
                      <w:rFonts w:ascii="仿宋_GB2312" w:hAnsi="仿宋_GB2312" w:cs="仿宋_GB2312" w:eastAsia="仿宋_GB2312"/>
                      <w:sz w:val="21"/>
                    </w:rPr>
                    <w:t>/mm</w:t>
                  </w:r>
                </w:p>
              </w:tc>
              <w:tc>
                <w:tcPr>
                  <w:tcW w:type="dxa" w:w="3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长度整齐度指数</w:t>
                  </w:r>
                  <w:r>
                    <w:rPr>
                      <w:rFonts w:ascii="仿宋_GB2312" w:hAnsi="仿宋_GB2312" w:cs="仿宋_GB2312" w:eastAsia="仿宋_GB2312"/>
                      <w:sz w:val="21"/>
                    </w:rPr>
                    <w:t>/%</w:t>
                  </w:r>
                </w:p>
              </w:tc>
              <w:tc>
                <w:tcPr>
                  <w:tcW w:type="dxa" w:w="3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断裂比强度</w:t>
                  </w:r>
                  <w:r>
                    <w:rPr>
                      <w:rFonts w:ascii="仿宋_GB2312" w:hAnsi="仿宋_GB2312" w:cs="仿宋_GB2312" w:eastAsia="仿宋_GB2312"/>
                      <w:sz w:val="21"/>
                    </w:rPr>
                    <w:t>/（cN/tex）</w:t>
                  </w:r>
                </w:p>
              </w:tc>
            </w:tr>
            <w:tr>
              <w:tc>
                <w:tcPr>
                  <w:tcW w:type="dxa" w:w="416"/>
                  <w:vMerge/>
                  <w:tcBorders>
                    <w:top w:val="single" w:color="000000" w:sz="4"/>
                    <w:left w:val="single" w:color="000000" w:sz="4"/>
                    <w:bottom w:val="single" w:color="000000" w:sz="4"/>
                    <w:right w:val="single" w:color="000000" w:sz="4"/>
                  </w:tcBorders>
                </w:tcP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黄度</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反射率</w:t>
                  </w:r>
                  <w:r>
                    <w:rPr>
                      <w:rFonts w:ascii="仿宋_GB2312" w:hAnsi="仿宋_GB2312" w:cs="仿宋_GB2312" w:eastAsia="仿宋_GB2312"/>
                      <w:sz w:val="21"/>
                    </w:rPr>
                    <w:t>/%</w:t>
                  </w:r>
                </w:p>
              </w:tc>
              <w:tc>
                <w:tcPr>
                  <w:tcW w:type="dxa" w:w="317"/>
                  <w:vMerge/>
                  <w:tcBorders>
                    <w:top w:val="single" w:color="000000" w:sz="4"/>
                    <w:left w:val="single" w:color="000000" w:sz="4"/>
                    <w:bottom w:val="single" w:color="000000" w:sz="4"/>
                    <w:right w:val="single" w:color="000000" w:sz="4"/>
                  </w:tcBorders>
                </w:tcPr>
                <w:p/>
              </w:tc>
              <w:tc>
                <w:tcPr>
                  <w:tcW w:type="dxa" w:w="359"/>
                  <w:vMerge/>
                  <w:tcBorders>
                    <w:top w:val="single" w:color="000000" w:sz="4"/>
                    <w:left w:val="single" w:color="000000" w:sz="4"/>
                    <w:bottom w:val="single" w:color="000000" w:sz="4"/>
                    <w:right w:val="single" w:color="000000" w:sz="4"/>
                  </w:tcBorders>
                </w:tcPr>
                <w:p/>
              </w:tc>
              <w:tc>
                <w:tcPr>
                  <w:tcW w:type="dxa" w:w="355"/>
                  <w:vMerge/>
                  <w:tcBorders>
                    <w:top w:val="single" w:color="000000" w:sz="4"/>
                    <w:left w:val="single" w:color="000000" w:sz="4"/>
                    <w:bottom w:val="single" w:color="000000" w:sz="4"/>
                    <w:right w:val="single" w:color="000000" w:sz="4"/>
                  </w:tcBorders>
                </w:tcPr>
                <w:p/>
              </w:tc>
              <w:tc>
                <w:tcPr>
                  <w:tcW w:type="dxa" w:w="388"/>
                  <w:vMerge/>
                  <w:tcBorders>
                    <w:top w:val="single" w:color="000000" w:sz="4"/>
                    <w:left w:val="single" w:color="000000" w:sz="4"/>
                    <w:bottom w:val="single" w:color="000000" w:sz="4"/>
                    <w:right w:val="single" w:color="000000" w:sz="4"/>
                  </w:tcBorders>
                </w:tcP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重复性限</w:t>
                  </w:r>
                  <w:r>
                    <w:rPr>
                      <w:rFonts w:ascii="仿宋_GB2312" w:hAnsi="仿宋_GB2312" w:cs="仿宋_GB2312" w:eastAsia="仿宋_GB2312"/>
                      <w:sz w:val="21"/>
                    </w:rPr>
                    <w:t>r</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0.65</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0.68</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1.64</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再现性限</w:t>
                  </w:r>
                  <w:r>
                    <w:rPr>
                      <w:rFonts w:ascii="仿宋_GB2312" w:hAnsi="仿宋_GB2312" w:cs="仿宋_GB2312" w:eastAsia="仿宋_GB2312"/>
                      <w:sz w:val="21"/>
                    </w:rPr>
                    <w:t>R</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0.66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0.81</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w:t>
                  </w:r>
                </w:p>
              </w:tc>
            </w:tr>
            <w:tr>
              <w:tc>
                <w:tcPr>
                  <w:tcW w:type="dxa" w:w="2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注</w:t>
                  </w:r>
                  <w:r>
                    <w:rPr>
                      <w:rFonts w:ascii="仿宋_GB2312" w:hAnsi="仿宋_GB2312" w:cs="仿宋_GB2312" w:eastAsia="仿宋_GB2312"/>
                      <w:sz w:val="21"/>
                    </w:rPr>
                    <w:t>1：重复性限r是指定为95%的重复性临界差。</w:t>
                  </w:r>
                </w:p>
                <w:p>
                  <w:pPr>
                    <w:pStyle w:val="null3"/>
                    <w:ind w:firstLine="420"/>
                    <w:jc w:val="left"/>
                  </w:pPr>
                  <w:r>
                    <w:rPr>
                      <w:rFonts w:ascii="仿宋_GB2312" w:hAnsi="仿宋_GB2312" w:cs="仿宋_GB2312" w:eastAsia="仿宋_GB2312"/>
                      <w:sz w:val="21"/>
                    </w:rPr>
                    <w:t>注</w:t>
                  </w:r>
                  <w:r>
                    <w:rPr>
                      <w:rFonts w:ascii="仿宋_GB2312" w:hAnsi="仿宋_GB2312" w:cs="仿宋_GB2312" w:eastAsia="仿宋_GB2312"/>
                      <w:sz w:val="21"/>
                    </w:rPr>
                    <w:t>2：再现性限R是指定为95%的再现性临界差。</w:t>
                  </w:r>
                </w:p>
              </w:tc>
            </w:tr>
          </w:tbl>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b/>
              </w:rPr>
              <w:t xml:space="preserve">  5、软件要求</w:t>
            </w:r>
          </w:p>
          <w:p>
            <w:pPr>
              <w:pStyle w:val="null3"/>
              <w:ind w:firstLine="420"/>
              <w:jc w:val="both"/>
            </w:pPr>
            <w:r>
              <w:rPr>
                <w:rFonts w:ascii="仿宋_GB2312" w:hAnsi="仿宋_GB2312" w:cs="仿宋_GB2312" w:eastAsia="仿宋_GB2312"/>
                <w:sz w:val="21"/>
              </w:rPr>
              <w:t>▲（1）需同源兼容 ARM、LoongArch、MIPS、SW64、x86 等平台架构的CPU，符合安全可靠测评要求。</w:t>
            </w:r>
          </w:p>
          <w:p>
            <w:pPr>
              <w:pStyle w:val="null3"/>
              <w:ind w:firstLine="420"/>
              <w:jc w:val="both"/>
            </w:pPr>
            <w:r>
              <w:rPr>
                <w:rFonts w:ascii="仿宋_GB2312" w:hAnsi="仿宋_GB2312" w:cs="仿宋_GB2312" w:eastAsia="仿宋_GB2312"/>
                <w:sz w:val="21"/>
              </w:rPr>
              <w:t>▲（2）应用软件应具有仪器校准、模块测试、验收测试、性能测试、系统诊断等功能。</w:t>
            </w:r>
          </w:p>
          <w:p>
            <w:pPr>
              <w:pStyle w:val="null3"/>
              <w:ind w:firstLine="420"/>
              <w:jc w:val="both"/>
            </w:pPr>
            <w:r>
              <w:rPr>
                <w:rFonts w:ascii="仿宋_GB2312" w:hAnsi="仿宋_GB2312" w:cs="仿宋_GB2312" w:eastAsia="仿宋_GB2312"/>
                <w:sz w:val="21"/>
              </w:rPr>
              <w:t>▲（3）软件能接入中国纤维质量监测中心的信息系统平台，实时将所投标的物的棉纤维检验数据上传至中国纤维质量监测中心的信息系统平台。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）在系统测试界面中，具有棉花</w:t>
            </w:r>
            <w:r>
              <w:rPr>
                <w:rFonts w:ascii="仿宋_GB2312" w:hAnsi="仿宋_GB2312" w:cs="仿宋_GB2312" w:eastAsia="仿宋_GB2312"/>
                <w:sz w:val="21"/>
              </w:rPr>
              <w:t>32位条码位数设置和判断功能。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）界面、软件仪器使用符合常规操作习惯，要求现有操作人员经简单培训即可操作仪器。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）系统测试界面中，具有显示测试总数、超子样限值、大样品、小样品、重测样品计数与重置功能。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）具有测试总数计数与重置功能。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）具有超子样限值计数、重置及子样限值设置功能。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）具有重测样品计数、重置功能及重测样品包号列表。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系统软件在系统测试中在同一个测试界面可显示至少两个测试样品的测试结果。可根据操作需求可显示每次测试结果的平均值、也可显示左右梳夹两次测量每次测试的测试值、平均值、标准差等功能。在模块测试、可以对多次测试结果的数据进行分类查看，可选择查看左梳夹、右梳夹、双梳夹的测试结果，结果包括测试结果及相应长</w:t>
            </w:r>
            <w:r>
              <w:rPr>
                <w:rFonts w:ascii="仿宋_GB2312" w:hAnsi="仿宋_GB2312" w:cs="仿宋_GB2312" w:eastAsia="仿宋_GB2312"/>
                <w:sz w:val="21"/>
              </w:rPr>
              <w:t>/强曲线图形。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）软件在同一个测试界面可显示全部的测试信息，无需使用混动条即可查看每项指标测试数据。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）软件具有使用不同的颜色块、指示各模块测试状态的功能。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）软件具有模块校准失败、不能进行系统测试的限制功能。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）软件具有单独性能测试模式，用于进行性能测试。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）软件可设置是否将系统测试数据传输到信息系统服务器的选择功能。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）软件具有通讯联网状态标识。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）模块测试中具有</w:t>
            </w:r>
            <w:r>
              <w:rPr>
                <w:rFonts w:ascii="仿宋_GB2312" w:hAnsi="仿宋_GB2312" w:cs="仿宋_GB2312" w:eastAsia="仿宋_GB2312"/>
                <w:sz w:val="21"/>
              </w:rPr>
              <w:t>“正常”测试模式。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）进行校准检查时，模块测试</w:t>
            </w:r>
            <w:r>
              <w:rPr>
                <w:rFonts w:ascii="仿宋_GB2312" w:hAnsi="仿宋_GB2312" w:cs="仿宋_GB2312" w:eastAsia="仿宋_GB2312"/>
                <w:sz w:val="21"/>
              </w:rPr>
              <w:t>“校准检查”模式下数据不能自动上传，点击完成后方可上传。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）模块测试时，具有可依据不同权限删除测试数据的功能。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）具有马克隆测试样品重量范围限制为</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10.5</w:t>
            </w:r>
            <w:r>
              <w:rPr>
                <w:rFonts w:ascii="仿宋_GB2312" w:hAnsi="仿宋_GB2312" w:cs="仿宋_GB2312" w:eastAsia="仿宋_GB2312"/>
                <w:sz w:val="21"/>
              </w:rPr>
              <w:t>g的设置功能。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）长强模块测试中，具有可选择中的马克隆值获取方式的功能。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）长强模块中显示每把梳夹测试结果，有选择查看左梳夹、右梳夹、双梳夹的测试结果，结果包括测试结果及相应长</w:t>
            </w:r>
            <w:r>
              <w:rPr>
                <w:rFonts w:ascii="仿宋_GB2312" w:hAnsi="仿宋_GB2312" w:cs="仿宋_GB2312" w:eastAsia="仿宋_GB2312"/>
                <w:sz w:val="21"/>
              </w:rPr>
              <w:t>/强曲线图形的功能。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）可以依据不同的测试需求，可对托盘是否运动及上颜色头是否压下进行设置。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）颜色模块显示测试数据在颜色图中的分布。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）颜色模块中，颜色测试数据以点的形式显示在颜色图中，以便于查看测试数据在颜色图中的分布。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）测试结果含有测试日期及时间各模块及系统测试报告中，每条数据加入测试日期时间项，并可以一段测试时间作为条件查询数据。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）可删除本地保存的系统测试、模块测试数据。当本地磁盘可用空间不足时，可删除保存的系统测试、模块测试数据（管理员权限）。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）具有验收结果查看与打印功能。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）报告导出文件格式，可以导出为</w:t>
            </w:r>
            <w:r>
              <w:rPr>
                <w:rFonts w:ascii="仿宋_GB2312" w:hAnsi="仿宋_GB2312" w:cs="仿宋_GB2312" w:eastAsia="仿宋_GB2312"/>
                <w:sz w:val="21"/>
              </w:rPr>
              <w:t>WORD、Excel及PDF文档格式。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）具有子样限值设置功能。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）具有长度单或</w:t>
            </w:r>
            <w:r>
              <w:rPr>
                <w:rFonts w:ascii="仿宋_GB2312" w:hAnsi="仿宋_GB2312" w:cs="仿宋_GB2312" w:eastAsia="仿宋_GB2312"/>
                <w:sz w:val="21"/>
              </w:rPr>
              <w:t>mm，可以选择以0.5inch以下或16.5mm以下短纤维指数数据作为检测结果。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）验收参数设置具有各模块验收、性能测试样品标准值、验收性能测试次数及允差设置界面。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）通讯参数设置要求仪器具有可对连接的服务器</w:t>
            </w:r>
            <w:r>
              <w:rPr>
                <w:rFonts w:ascii="仿宋_GB2312" w:hAnsi="仿宋_GB2312" w:cs="仿宋_GB2312" w:eastAsia="仿宋_GB2312"/>
                <w:sz w:val="21"/>
              </w:rPr>
              <w:t>IP地址及端口号进行设置界面。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）系统测试时，能显示每次测试结果的测试值和平均数据格式。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）具有信息系统的网络连接机制，包括连接状态的判断、网络断开后的重复连接等功能，软件界面中给出网络状态改变等情况的提示的功能。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）具有发送现有信息系统能够识别的仪器监控数据功能，具有监控数据各参数的正常范围标准。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7</w:t>
            </w:r>
            <w:r>
              <w:rPr>
                <w:rFonts w:ascii="仿宋_GB2312" w:hAnsi="仿宋_GB2312" w:cs="仿宋_GB2312" w:eastAsia="仿宋_GB2312"/>
                <w:sz w:val="21"/>
              </w:rPr>
              <w:t>）具有能够</w:t>
            </w:r>
            <w:r>
              <w:rPr>
                <w:rFonts w:ascii="仿宋_GB2312" w:hAnsi="仿宋_GB2312" w:cs="仿宋_GB2312" w:eastAsia="仿宋_GB2312"/>
                <w:sz w:val="21"/>
              </w:rPr>
              <w:t>接收</w:t>
            </w:r>
            <w:r>
              <w:rPr>
                <w:rFonts w:ascii="仿宋_GB2312" w:hAnsi="仿宋_GB2312" w:cs="仿宋_GB2312" w:eastAsia="仿宋_GB2312"/>
                <w:sz w:val="21"/>
              </w:rPr>
              <w:t>到信息系统的各类反馈，并能对操作员给予提示。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8</w:t>
            </w:r>
            <w:r>
              <w:rPr>
                <w:rFonts w:ascii="仿宋_GB2312" w:hAnsi="仿宋_GB2312" w:cs="仿宋_GB2312" w:eastAsia="仿宋_GB2312"/>
                <w:sz w:val="21"/>
              </w:rPr>
              <w:t>）软件各界面所有文字均使用中文。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9</w:t>
            </w:r>
            <w:r>
              <w:rPr>
                <w:rFonts w:ascii="仿宋_GB2312" w:hAnsi="仿宋_GB2312" w:cs="仿宋_GB2312" w:eastAsia="仿宋_GB2312"/>
                <w:sz w:val="21"/>
              </w:rPr>
              <w:t>）软件系统测试时、在软件主界面显示颜色图版本号标识。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）具有便于操作的软件升级，颜色图升级功能。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）配备的系统软件及其他软件必须是正版软件，厂家自行开发的操作软件必须有自主知识产权。</w:t>
            </w:r>
          </w:p>
          <w:p>
            <w:pPr>
              <w:pStyle w:val="null3"/>
              <w:ind w:firstLine="420"/>
              <w:jc w:val="both"/>
            </w:pPr>
            <w:r>
              <w:rPr>
                <w:rFonts w:ascii="仿宋_GB2312" w:hAnsi="仿宋_GB2312" w:cs="仿宋_GB2312" w:eastAsia="仿宋_GB2312"/>
                <w:sz w:val="21"/>
                <w:b/>
              </w:rPr>
              <w:t>6</w:t>
            </w:r>
            <w:r>
              <w:rPr>
                <w:rFonts w:ascii="仿宋_GB2312" w:hAnsi="仿宋_GB2312" w:cs="仿宋_GB2312" w:eastAsia="仿宋_GB2312"/>
                <w:sz w:val="21"/>
                <w:b/>
              </w:rPr>
              <w:t>、仪器基本配置</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每套仪器基本配置</w:t>
            </w:r>
            <w:r>
              <w:rPr>
                <w:rFonts w:ascii="仿宋_GB2312" w:hAnsi="仿宋_GB2312" w:cs="仿宋_GB2312" w:eastAsia="仿宋_GB2312"/>
                <w:sz w:val="21"/>
              </w:rPr>
              <w:t>整机</w:t>
            </w:r>
            <w:r>
              <w:rPr>
                <w:rFonts w:ascii="仿宋_GB2312" w:hAnsi="仿宋_GB2312" w:cs="仿宋_GB2312" w:eastAsia="仿宋_GB2312"/>
                <w:sz w:val="21"/>
              </w:rPr>
              <w:t>1套包含长强主机箱体、</w:t>
            </w:r>
            <w:r>
              <w:rPr>
                <w:rFonts w:ascii="仿宋_GB2312" w:hAnsi="仿宋_GB2312" w:cs="仿宋_GB2312" w:eastAsia="仿宋_GB2312"/>
                <w:sz w:val="21"/>
              </w:rPr>
              <w:t>马克隆箱体</w:t>
            </w:r>
            <w:r>
              <w:rPr>
                <w:rFonts w:ascii="仿宋_GB2312" w:hAnsi="仿宋_GB2312" w:cs="仿宋_GB2312" w:eastAsia="仿宋_GB2312"/>
                <w:sz w:val="21"/>
              </w:rPr>
              <w:t>、色征主机箱体及备附件。</w:t>
            </w:r>
            <w:r>
              <w:rPr>
                <w:rFonts w:ascii="仿宋_GB2312" w:hAnsi="仿宋_GB2312" w:cs="仿宋_GB2312" w:eastAsia="仿宋_GB2312"/>
                <w:sz w:val="21"/>
              </w:rPr>
              <w:t>整机可以实现中国棉花公证检验实验室的服务器专用软件联网，具有仪器校准、系统测试、模块测试、验收测试、性能测试、系统诊断等功能。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）长</w:t>
            </w:r>
            <w:r>
              <w:rPr>
                <w:rFonts w:ascii="仿宋_GB2312" w:hAnsi="仿宋_GB2312" w:cs="仿宋_GB2312" w:eastAsia="仿宋_GB2312"/>
                <w:sz w:val="21"/>
              </w:rPr>
              <w:t>/强箱体内主要包含长度/强度模块，实现上半部平均长度、平均长度、长度整齐度、断裂比强度等棉纤维物理指标的测试。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）马克隆箱体内包含颜色</w:t>
            </w:r>
            <w:r>
              <w:rPr>
                <w:rFonts w:ascii="仿宋_GB2312" w:hAnsi="仿宋_GB2312" w:cs="仿宋_GB2312" w:eastAsia="仿宋_GB2312"/>
                <w:sz w:val="21"/>
              </w:rPr>
              <w:t>/杂质模块、马克隆组件和电脑控制系统。符合棉花检验要求光源的色泽/杂质模块。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）颜色杂质组件，</w:t>
            </w:r>
            <w:r>
              <w:rPr>
                <w:rFonts w:ascii="仿宋_GB2312" w:hAnsi="仿宋_GB2312" w:cs="仿宋_GB2312" w:eastAsia="仿宋_GB2312"/>
                <w:sz w:val="21"/>
              </w:rPr>
              <w:t>实现试棉纤维的颜色反射率、颜色黄度、杂质面积、杂质颗粒数等指标的测试。颜色</w:t>
            </w:r>
            <w:r>
              <w:rPr>
                <w:rFonts w:ascii="仿宋_GB2312" w:hAnsi="仿宋_GB2312" w:cs="仿宋_GB2312" w:eastAsia="仿宋_GB2312"/>
                <w:sz w:val="21"/>
              </w:rPr>
              <w:t>/杂质模块具有上下两个颜色/杂质测量装置，使用符合棉花检验要求的光源。颜色指标的校准使用中国纤维质量监测中心赋值的白色、棕色、黄色、灰色、中心色五块颜色校准瓷板进行校准，杂质校准使用白色瓷板和仪器配备的杂质板进行校准；系统能根据中国纤维质量监测中心要求升级中国色征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）马克隆值模块：主要用来测试棉纤维的马克隆值，测试马克隆值范围</w:t>
            </w:r>
            <w:r>
              <w:rPr>
                <w:rFonts w:ascii="仿宋_GB2312" w:hAnsi="仿宋_GB2312" w:cs="仿宋_GB2312" w:eastAsia="仿宋_GB2312"/>
                <w:sz w:val="21"/>
              </w:rPr>
              <w:t>2.5—6.5</w:t>
            </w:r>
            <w:r>
              <w:rPr>
                <w:rFonts w:ascii="仿宋_GB2312" w:hAnsi="仿宋_GB2312" w:cs="仿宋_GB2312" w:eastAsia="仿宋_GB2312"/>
                <w:sz w:val="21"/>
              </w:rPr>
              <w:t>，</w:t>
            </w:r>
            <w:r>
              <w:rPr>
                <w:rFonts w:ascii="仿宋_GB2312" w:hAnsi="仿宋_GB2312" w:cs="仿宋_GB2312" w:eastAsia="仿宋_GB2312"/>
                <w:sz w:val="21"/>
              </w:rPr>
              <w:t>包含气桥、压差器、测试腔体、精密天平等部件。要求每次测试样品的试样重量设置在</w:t>
            </w:r>
            <w:r>
              <w:rPr>
                <w:rFonts w:ascii="仿宋_GB2312" w:hAnsi="仿宋_GB2312" w:cs="仿宋_GB2312" w:eastAsia="仿宋_GB2312"/>
                <w:sz w:val="21"/>
              </w:rPr>
              <w:t>9.</w:t>
            </w:r>
            <w:r>
              <w:rPr>
                <w:rFonts w:ascii="仿宋_GB2312" w:hAnsi="仿宋_GB2312" w:cs="仿宋_GB2312" w:eastAsia="仿宋_GB2312"/>
                <w:sz w:val="21"/>
              </w:rPr>
              <w:t>5</w:t>
            </w:r>
            <w:r>
              <w:rPr>
                <w:rFonts w:ascii="仿宋_GB2312" w:hAnsi="仿宋_GB2312" w:cs="仿宋_GB2312" w:eastAsia="仿宋_GB2312"/>
                <w:sz w:val="21"/>
              </w:rPr>
              <w:t>g至1</w:t>
            </w:r>
            <w:r>
              <w:rPr>
                <w:rFonts w:ascii="仿宋_GB2312" w:hAnsi="仿宋_GB2312" w:cs="仿宋_GB2312" w:eastAsia="仿宋_GB2312"/>
                <w:sz w:val="21"/>
              </w:rPr>
              <w:t>0.5</w:t>
            </w:r>
            <w:r>
              <w:rPr>
                <w:rFonts w:ascii="仿宋_GB2312" w:hAnsi="仿宋_GB2312" w:cs="仿宋_GB2312" w:eastAsia="仿宋_GB2312"/>
                <w:sz w:val="21"/>
              </w:rPr>
              <w:t>g之间，通过测试一定量棉纤维在规定条件下的透气性，通过软件测得棉纤维的马克隆值。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6）配备</w:t>
            </w:r>
            <w:r>
              <w:rPr>
                <w:rFonts w:ascii="仿宋_GB2312" w:hAnsi="仿宋_GB2312" w:cs="仿宋_GB2312" w:eastAsia="仿宋_GB2312"/>
                <w:sz w:val="21"/>
              </w:rPr>
              <w:t>纸质测试结果</w:t>
            </w:r>
            <w:r>
              <w:rPr>
                <w:rFonts w:ascii="仿宋_GB2312" w:hAnsi="仿宋_GB2312" w:cs="仿宋_GB2312" w:eastAsia="仿宋_GB2312"/>
                <w:sz w:val="21"/>
              </w:rPr>
              <w:t>输出设备</w:t>
            </w:r>
            <w:r>
              <w:rPr>
                <w:rFonts w:ascii="仿宋_GB2312" w:hAnsi="仿宋_GB2312" w:cs="仿宋_GB2312" w:eastAsia="仿宋_GB2312"/>
                <w:sz w:val="21"/>
              </w:rPr>
              <w:t>;尺寸≥A4,激光输出。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7）随机配备中文说明书或中文操作手册。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8）随仪器配备必要的维修工具，工具能满足实验室维护人员对设备的正常维护、维修。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9）仪器随机配备标样：细绒棉长强/短弱校准样品一套、长绒棉长强样品一箱、高中低马克隆校准样品三卷、高中低气流校准塞三只、颜色、杂质校准瓷板1套。</w:t>
            </w:r>
          </w:p>
          <w:p>
            <w:pPr>
              <w:pStyle w:val="null3"/>
              <w:ind w:firstLine="630"/>
              <w:jc w:val="both"/>
            </w:pPr>
            <w:r>
              <w:rPr>
                <w:rFonts w:ascii="仿宋_GB2312" w:hAnsi="仿宋_GB2312" w:cs="仿宋_GB2312" w:eastAsia="仿宋_GB2312"/>
                <w:sz w:val="21"/>
              </w:rPr>
              <w:t>(10)配备操作软件一套。</w:t>
            </w:r>
          </w:p>
          <w:p>
            <w:pPr>
              <w:pStyle w:val="null3"/>
            </w:pPr>
            <w:r>
              <w:rPr>
                <w:rFonts w:ascii="仿宋_GB2312" w:hAnsi="仿宋_GB2312" w:cs="仿宋_GB2312" w:eastAsia="仿宋_GB2312"/>
                <w:sz w:val="21"/>
              </w:rPr>
              <w:t>注：所有标注</w:t>
            </w:r>
            <w:r>
              <w:rPr>
                <w:rFonts w:ascii="仿宋_GB2312" w:hAnsi="仿宋_GB2312" w:cs="仿宋_GB2312" w:eastAsia="仿宋_GB2312"/>
                <w:sz w:val="21"/>
              </w:rPr>
              <w:t>▲</w:t>
            </w:r>
            <w:r>
              <w:rPr>
                <w:rFonts w:ascii="仿宋_GB2312" w:hAnsi="仿宋_GB2312" w:cs="仿宋_GB2312" w:eastAsia="仿宋_GB2312"/>
                <w:sz w:val="21"/>
              </w:rPr>
              <w:t>技术指标均需提供证明材料（</w:t>
            </w:r>
            <w:r>
              <w:rPr>
                <w:rFonts w:ascii="仿宋_GB2312" w:hAnsi="仿宋_GB2312" w:cs="仿宋_GB2312" w:eastAsia="仿宋_GB2312"/>
                <w:sz w:val="21"/>
              </w:rPr>
              <w:t>产品彩页、官网功能截图、第三方检测报告、产品技术白皮书等</w:t>
            </w:r>
            <w:r>
              <w:rPr>
                <w:rFonts w:ascii="仿宋_GB2312" w:hAnsi="仿宋_GB2312" w:cs="仿宋_GB2312" w:eastAsia="仿宋_GB2312"/>
                <w:sz w:val="21"/>
              </w:rPr>
              <w:t>），未按照要求提供视为负偏离。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新疆五家渠实验室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进度款，项目验收通过后，乙方出具全额增值税发票，达到付款条件起10个工作日内，支付合同总金额的60.0%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仪器安装完成后，马克隆值、长度/强度、颜色、杂质模块必须通过校准、验收试验、性能测试、强度测试；验收方法和程序严格按照中国纤维质量监测中心下发的安装、验收文件要求程序和方法进行，要求一次性通过验收试验、性能测试，中途不能废弃数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1、质保期：自验收合格交付使用起质保期为1年。 2、验收合格后，投标人选派人员到采购人指定地点培训，培训所需器材、技术资料及相关费用由投标人承担。保修期间维修及零件更换费用、人工及差旅费等费用全部由投标人负担（人为损坏除外）。在保修期内，如设备或零部件因非人为因素出现故障而造成短期停用的，经双方确认后，保修期相应顺延，顺延期限由双方协商确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2、供应商需要在线提交所有通过电子化交易平台实施的政府采购项目的投标文件，同时，中标供应商须在发布中标公告后线下提交投标文件贰份。 线下提交投标文件地点：西安市高新区唐延路旺座现代城 C 座 25 楼 2502室 ；联系电话：029-88319689转8006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提供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本项目专门面向中小企业采购，请提供中小企业声明函</w:t>
            </w:r>
          </w:p>
        </w:tc>
        <w:tc>
          <w:tcPr>
            <w:tcW w:type="dxa" w:w="1661"/>
          </w:tcPr>
          <w:p>
            <w:pPr>
              <w:pStyle w:val="null3"/>
            </w:pPr>
            <w:r>
              <w:rPr>
                <w:rFonts w:ascii="仿宋_GB2312" w:hAnsi="仿宋_GB2312" w:cs="仿宋_GB2312" w:eastAsia="仿宋_GB2312"/>
              </w:rPr>
              <w:t>中小企业声明函 02供应商资格证明资料.docx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本项目不接受联合体投标（格式自拟）</w:t>
            </w:r>
          </w:p>
        </w:tc>
        <w:tc>
          <w:tcPr>
            <w:tcW w:type="dxa" w:w="1661"/>
          </w:tcPr>
          <w:p>
            <w:pPr>
              <w:pStyle w:val="null3"/>
            </w:pPr>
            <w:r>
              <w:rPr>
                <w:rFonts w:ascii="仿宋_GB2312" w:hAnsi="仿宋_GB2312" w:cs="仿宋_GB2312" w:eastAsia="仿宋_GB2312"/>
              </w:rPr>
              <w:t>02供应商资格证明资料.docx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关于符合本国产品标准的声明函 投标文件封面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01分项报价表.docx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03商务和技术响应偏离表.docx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01分项报价表.docx 投标函 中小企业声明函 02供应商资格证明资料.docx 标的清单 关于符合本国产品标准的声明函 投标文件封面 06供应商认为有必要说明的其他问题及承诺书.docx 05业绩.docx 03商务和技术响应偏离表.docx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与招标文件商务要求条款一致且未增加采购人难以接受的条款。</w:t>
            </w:r>
          </w:p>
        </w:tc>
        <w:tc>
          <w:tcPr>
            <w:tcW w:type="dxa" w:w="1661"/>
          </w:tcPr>
          <w:p>
            <w:pPr>
              <w:pStyle w:val="null3"/>
            </w:pPr>
            <w:r>
              <w:rPr>
                <w:rFonts w:ascii="仿宋_GB2312" w:hAnsi="仿宋_GB2312" w:cs="仿宋_GB2312" w:eastAsia="仿宋_GB2312"/>
              </w:rPr>
              <w:t>投标文件封面 03商务和技术响应偏离表.docx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是否符合法律法规和招标文件规定的其他实质性要求</w:t>
            </w:r>
          </w:p>
        </w:tc>
        <w:tc>
          <w:tcPr>
            <w:tcW w:type="dxa" w:w="1661"/>
          </w:tcPr>
          <w:p>
            <w:pPr>
              <w:pStyle w:val="null3"/>
            </w:pPr>
            <w:r>
              <w:rPr>
                <w:rFonts w:ascii="仿宋_GB2312" w:hAnsi="仿宋_GB2312" w:cs="仿宋_GB2312" w:eastAsia="仿宋_GB2312"/>
              </w:rPr>
              <w:t>06供应商认为有必要说明的其他问题及承诺书.docx 03商务和技术响应偏离表.docx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对招标文件技术参数要求部分的所有指标，投标人应在技术响应偏离表中逐条进行响应。 基本分:完全符合、响应招标文件要求，没有负偏离的得40分；标“▲”项为重要指标，每负偏离1项扣2分，非“▲”项每负偏离一项扣0.25分，扣完为止。 “▲”须提供证明材料（不限于产品检测报告、产品彩页、官网和功能截图等）在技术偏离表“说明”栏中标明证明材料的页码；未提供证明材料或提供证明材料不满足招标文件规定的相应技术指标、参数时视为负偏离 评审依据为相应的证明材料（包括但不限于产品彩页、官网功能截图、第三方检测报告、产品技术白皮书等）及投标产品技术参数偏离表等；</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04-1技术参数指标.docx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提供所投产品合法来源渠道证明文件（不限于销售协议、代理协议、原厂授权等），承诺供应的产品为全新产品,无假货、水货、翻新货且无产权纠纷。提供齐全计1分，提供不全或未提供不计分。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04-2产品来源渠道和质量保证能力.docx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投标人提供针对本项目的实施方案,包括①项目总体实施方案②供货组织安排③进度安排。 评审标准：方案各部分内容全面详细、阐述条例清晰详尽、符合本项目采购需求，能保障本项目实施得6分；评审内容每缺一项扣2分，评审内容每有一处缺陷未完全响应评审标准的扣1分，扣完为止。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04-3实施方案.docx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售后服务机构健全，提供售后服务方案（包含①售后服务方案及人员配备②售后服务响应时间及方式③出现质量问题时的补救措施④提供设备易损零部件清单及价格。 评审标准：各部分内容全面详细、阐述条例清晰详尽、符合本项目采购需求，得6分，评审内容每缺一项扣1.5分；评审内容每有一处缺陷未完全响应评审标准的扣0.5分。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04-4售后服务能力.docx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投标人针对本项目提供详细、可行的技术培训方案，至少包括①培训内容②培训计划及目标。 评审标准：各部分内容全面详细、阐述条例清晰详尽、符合本项目采购需求，得4分，评审内容每缺一项扣2分；评审内容每有一处缺陷未完全响应评审标准的扣1分。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04-5培训方案和安装调试验收.docx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投标人提供针对本项目的①安装调试方案②验收方案； 评审标准：方案各部分内容全面详细、阐述条例清晰详尽、符合本项目采购需求，能保障本项目实施得4分；评审内容每缺一项扣2分，评审内容每有一处缺陷未完全响应评审标准的扣1分。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04-5培训方案和安装调试验收.docx</w:t>
            </w:r>
          </w:p>
        </w:tc>
      </w:tr>
      <w:tr>
        <w:tc>
          <w:tcPr>
            <w:tcW w:type="dxa" w:w="831"/>
            <w:vMerge/>
          </w:tcPr>
          <w:p/>
        </w:tc>
        <w:tc>
          <w:tcPr>
            <w:tcW w:type="dxa" w:w="1661"/>
          </w:tcPr>
          <w:p>
            <w:pPr>
              <w:pStyle w:val="null3"/>
            </w:pPr>
            <w:r>
              <w:rPr>
                <w:rFonts w:ascii="仿宋_GB2312" w:hAnsi="仿宋_GB2312" w:cs="仿宋_GB2312" w:eastAsia="仿宋_GB2312"/>
              </w:rPr>
              <w:t>质量保证能力</w:t>
            </w:r>
          </w:p>
        </w:tc>
        <w:tc>
          <w:tcPr>
            <w:tcW w:type="dxa" w:w="2492"/>
          </w:tcPr>
          <w:p>
            <w:pPr>
              <w:pStyle w:val="null3"/>
            </w:pPr>
            <w:r>
              <w:rPr>
                <w:rFonts w:ascii="仿宋_GB2312" w:hAnsi="仿宋_GB2312" w:cs="仿宋_GB2312" w:eastAsia="仿宋_GB2312"/>
              </w:rPr>
              <w:t>1.质保期结束后硬件设备能够提供终身维修且明确承诺只能收取零配件费（零配件费不高于售后易损零部件报价），免人工费、交通费等的，可得1分 。 2.质保期结束后软件提供永久无偿升级，维护和技术支持服务明确承诺按市场最低价收费的，可得1分。 3.在招标文件的质保期的基础上每延长1年得1分，最高得2分。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04-2产品来源渠道和质量保证能力.docx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提供2023年1月1日至今（以签订合同时间为准）所投产品业绩证明材料（附合同及发票复印件加盖公章），每提供1份有效业绩得1分，最高得5分。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05业绩.docx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01分项报价表.docx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注：1、计算分数时四舍五入取小数点后两位；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详见附件：03商务和技术响应偏离表.docx</w:t>
      </w:r>
    </w:p>
    <w:p>
      <w:pPr>
        <w:pStyle w:val="null3"/>
        <w:ind w:firstLine="960"/>
      </w:pPr>
      <w:r>
        <w:rPr>
          <w:rFonts w:ascii="仿宋_GB2312" w:hAnsi="仿宋_GB2312" w:cs="仿宋_GB2312" w:eastAsia="仿宋_GB2312"/>
        </w:rPr>
        <w:t>详见附件：04-1技术参数指标.docx</w:t>
      </w:r>
    </w:p>
    <w:p>
      <w:pPr>
        <w:pStyle w:val="null3"/>
        <w:ind w:firstLine="960"/>
      </w:pPr>
      <w:r>
        <w:rPr>
          <w:rFonts w:ascii="仿宋_GB2312" w:hAnsi="仿宋_GB2312" w:cs="仿宋_GB2312" w:eastAsia="仿宋_GB2312"/>
        </w:rPr>
        <w:t>详见附件：04-2产品来源渠道和质量保证能力.docx</w:t>
      </w:r>
    </w:p>
    <w:p>
      <w:pPr>
        <w:pStyle w:val="null3"/>
        <w:ind w:firstLine="960"/>
      </w:pPr>
      <w:r>
        <w:rPr>
          <w:rFonts w:ascii="仿宋_GB2312" w:hAnsi="仿宋_GB2312" w:cs="仿宋_GB2312" w:eastAsia="仿宋_GB2312"/>
        </w:rPr>
        <w:t>详见附件：04-3实施方案.docx</w:t>
      </w:r>
    </w:p>
    <w:p>
      <w:pPr>
        <w:pStyle w:val="null3"/>
        <w:ind w:firstLine="960"/>
      </w:pPr>
      <w:r>
        <w:rPr>
          <w:rFonts w:ascii="仿宋_GB2312" w:hAnsi="仿宋_GB2312" w:cs="仿宋_GB2312" w:eastAsia="仿宋_GB2312"/>
        </w:rPr>
        <w:t>详见附件：04-4售后服务能力.docx</w:t>
      </w:r>
    </w:p>
    <w:p>
      <w:pPr>
        <w:pStyle w:val="null3"/>
        <w:ind w:firstLine="960"/>
      </w:pPr>
      <w:r>
        <w:rPr>
          <w:rFonts w:ascii="仿宋_GB2312" w:hAnsi="仿宋_GB2312" w:cs="仿宋_GB2312" w:eastAsia="仿宋_GB2312"/>
        </w:rPr>
        <w:t>详见附件：04-5培训方案和安装调试验收.docx</w:t>
      </w:r>
    </w:p>
    <w:p>
      <w:pPr>
        <w:pStyle w:val="null3"/>
        <w:ind w:firstLine="960"/>
      </w:pPr>
      <w:r>
        <w:rPr>
          <w:rFonts w:ascii="仿宋_GB2312" w:hAnsi="仿宋_GB2312" w:cs="仿宋_GB2312" w:eastAsia="仿宋_GB2312"/>
        </w:rPr>
        <w:t>详见附件：05业绩.docx</w:t>
      </w:r>
    </w:p>
    <w:p>
      <w:pPr>
        <w:pStyle w:val="null3"/>
        <w:ind w:firstLine="960"/>
      </w:pPr>
      <w:r>
        <w:rPr>
          <w:rFonts w:ascii="仿宋_GB2312" w:hAnsi="仿宋_GB2312" w:cs="仿宋_GB2312" w:eastAsia="仿宋_GB2312"/>
        </w:rPr>
        <w:t>详见附件：06供应商认为有必要说明的其他问题及承诺书.docx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