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1C4FB">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color w:val="000000" w:themeColor="text1"/>
          <w:sz w:val="44"/>
          <w:szCs w:val="44"/>
          <w14:textFill>
            <w14:solidFill>
              <w14:schemeClr w14:val="tx1"/>
            </w14:solidFill>
          </w14:textFill>
        </w:rPr>
      </w:pPr>
      <w:bookmarkStart w:id="0" w:name="_Toc25319"/>
      <w:bookmarkStart w:id="1" w:name="_Toc31695"/>
      <w:bookmarkStart w:id="2" w:name="_Toc30823"/>
      <w:bookmarkStart w:id="3" w:name="_Toc26963"/>
      <w:bookmarkStart w:id="4" w:name="_Toc9446"/>
      <w:bookmarkStart w:id="5" w:name="_Toc26386"/>
      <w:bookmarkStart w:id="6" w:name="_Toc6970"/>
      <w:bookmarkStart w:id="7" w:name="_Toc1223"/>
      <w:bookmarkStart w:id="8" w:name="_Toc17180"/>
      <w:bookmarkStart w:id="9" w:name="_Toc27878"/>
      <w:bookmarkStart w:id="10" w:name="_Toc21899"/>
      <w:bookmarkStart w:id="11" w:name="_Toc9528"/>
      <w:bookmarkStart w:id="12" w:name="_Toc22784"/>
      <w:bookmarkStart w:id="13" w:name="_Toc7652"/>
      <w:bookmarkStart w:id="14" w:name="_Toc26910"/>
      <w:bookmarkStart w:id="15" w:name="_Toc12060"/>
      <w:bookmarkStart w:id="16" w:name="_Toc19288"/>
      <w:bookmarkStart w:id="17" w:name="_Toc7576"/>
      <w:bookmarkStart w:id="18" w:name="_Toc17951"/>
      <w:bookmarkStart w:id="19" w:name="_Toc5600"/>
      <w:bookmarkStart w:id="20" w:name="_Toc17611"/>
      <w:bookmarkStart w:id="21" w:name="_Toc32593"/>
      <w:bookmarkStart w:id="22" w:name="_Toc6000"/>
      <w:bookmarkStart w:id="23" w:name="_Toc10047"/>
      <w:bookmarkStart w:id="24" w:name="_Toc26306"/>
      <w:bookmarkStart w:id="25" w:name="_Toc17207"/>
      <w:bookmarkStart w:id="26" w:name="_Toc30717"/>
      <w:bookmarkStart w:id="27" w:name="_Toc475451546"/>
      <w:bookmarkStart w:id="28" w:name="_Toc22752"/>
      <w:bookmarkStart w:id="29" w:name="_Toc26289"/>
      <w:bookmarkStart w:id="30" w:name="_Toc1520"/>
      <w:bookmarkStart w:id="31" w:name="_Toc2768"/>
      <w:bookmarkStart w:id="32" w:name="_Toc19608"/>
      <w:bookmarkStart w:id="33" w:name="_Toc8887"/>
      <w:bookmarkStart w:id="34" w:name="_Toc4772"/>
      <w:bookmarkStart w:id="35" w:name="_Toc6491"/>
      <w:bookmarkStart w:id="36" w:name="_Toc21290"/>
      <w:bookmarkStart w:id="37" w:name="_Toc21156"/>
      <w:bookmarkStart w:id="38" w:name="_Toc13492"/>
      <w:bookmarkStart w:id="39" w:name="_Toc5629"/>
      <w:bookmarkStart w:id="40" w:name="_Toc7971"/>
      <w:bookmarkStart w:id="41" w:name="_Toc29197"/>
      <w:bookmarkStart w:id="42" w:name="_Toc31934"/>
    </w:p>
    <w:p w14:paraId="1ACB6680">
      <w:pPr>
        <w:pStyle w:val="9"/>
        <w:keepNext w:val="0"/>
        <w:keepLines w:val="0"/>
        <w:pageBreakBefore w:val="0"/>
        <w:widowControl w:val="0"/>
        <w:tabs>
          <w:tab w:val="right" w:leader="dot" w:pos="9071"/>
        </w:tabs>
        <w:kinsoku/>
        <w:wordWrap/>
        <w:overflowPunct/>
        <w:topLinePunct w:val="0"/>
        <w:autoSpaceDE/>
        <w:autoSpaceDN/>
        <w:bidi w:val="0"/>
        <w:adjustRightInd/>
        <w:snapToGrid/>
        <w:spacing w:line="700" w:lineRule="exact"/>
        <w:jc w:val="center"/>
        <w:textAlignment w:val="auto"/>
        <w:outlineLvl w:val="0"/>
        <w:rPr>
          <w:rFonts w:hint="eastAsia" w:ascii="方正小标宋简体" w:hAnsi="方正小标宋简体" w:eastAsia="方正小标宋简体" w:cs="方正小标宋简体"/>
          <w:b w:val="0"/>
          <w:bCs w:val="0"/>
          <w:color w:val="auto"/>
          <w:sz w:val="52"/>
          <w:szCs w:val="52"/>
          <w:lang w:val="en-US" w:eastAsia="zh-CN"/>
        </w:rPr>
      </w:pPr>
      <w:r>
        <w:rPr>
          <w:rFonts w:hint="eastAsia" w:ascii="方正小标宋简体" w:hAnsi="方正小标宋简体" w:eastAsia="方正小标宋简体" w:cs="方正小标宋简体"/>
          <w:b w:val="0"/>
          <w:bCs w:val="0"/>
          <w:color w:val="auto"/>
          <w:sz w:val="52"/>
          <w:szCs w:val="52"/>
          <w:lang w:val="en-US" w:eastAsia="zh-CN"/>
        </w:rPr>
        <w:t>2026年森林草原航空消防租机项目</w:t>
      </w:r>
    </w:p>
    <w:p w14:paraId="6ED02AF3">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eastAsia" w:ascii="宋体" w:hAnsi="宋体" w:eastAsia="宋体" w:cs="宋体"/>
          <w:b/>
          <w:bCs/>
          <w:color w:val="000000" w:themeColor="text1"/>
          <w:sz w:val="48"/>
          <w:szCs w:val="48"/>
          <w14:textFill>
            <w14:solidFill>
              <w14:schemeClr w14:val="tx1"/>
            </w14:solidFill>
          </w14:textFill>
        </w:rPr>
      </w:pPr>
    </w:p>
    <w:p w14:paraId="1DEE22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themeColor="text1"/>
          <w:sz w:val="84"/>
          <w:szCs w:val="8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84"/>
          <w:szCs w:val="84"/>
          <w14:textFill>
            <w14:solidFill>
              <w14:schemeClr w14:val="tx1"/>
            </w14:solidFill>
          </w14:textFill>
        </w:rPr>
        <w:t>租</w:t>
      </w:r>
    </w:p>
    <w:p w14:paraId="25623F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themeColor="text1"/>
          <w:sz w:val="21"/>
          <w:szCs w:val="21"/>
          <w14:textFill>
            <w14:solidFill>
              <w14:schemeClr w14:val="tx1"/>
            </w14:solidFill>
          </w14:textFill>
        </w:rPr>
      </w:pPr>
    </w:p>
    <w:p w14:paraId="13D4CD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themeColor="text1"/>
          <w:sz w:val="84"/>
          <w:szCs w:val="8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84"/>
          <w:szCs w:val="84"/>
          <w14:textFill>
            <w14:solidFill>
              <w14:schemeClr w14:val="tx1"/>
            </w14:solidFill>
          </w14:textFill>
        </w:rPr>
        <w:t>用</w:t>
      </w:r>
    </w:p>
    <w:p w14:paraId="47BEDA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themeColor="text1"/>
          <w:sz w:val="21"/>
          <w:szCs w:val="21"/>
          <w14:textFill>
            <w14:solidFill>
              <w14:schemeClr w14:val="tx1"/>
            </w14:solidFill>
          </w14:textFill>
        </w:rPr>
      </w:pPr>
    </w:p>
    <w:p w14:paraId="6F76C9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themeColor="text1"/>
          <w:sz w:val="84"/>
          <w:szCs w:val="8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84"/>
          <w:szCs w:val="84"/>
          <w14:textFill>
            <w14:solidFill>
              <w14:schemeClr w14:val="tx1"/>
            </w14:solidFill>
          </w14:textFill>
        </w:rPr>
        <w:t>合</w:t>
      </w:r>
    </w:p>
    <w:p w14:paraId="47C6C2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themeColor="text1"/>
          <w:sz w:val="21"/>
          <w:szCs w:val="21"/>
          <w14:textFill>
            <w14:solidFill>
              <w14:schemeClr w14:val="tx1"/>
            </w14:solidFill>
          </w14:textFill>
        </w:rPr>
      </w:pPr>
    </w:p>
    <w:p w14:paraId="656393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themeColor="text1"/>
          <w:sz w:val="84"/>
          <w:szCs w:val="8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84"/>
          <w:szCs w:val="84"/>
          <w14:textFill>
            <w14:solidFill>
              <w14:schemeClr w14:val="tx1"/>
            </w14:solidFill>
          </w14:textFill>
        </w:rPr>
        <w:t>同</w:t>
      </w:r>
    </w:p>
    <w:p w14:paraId="65C03919">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eastAsia" w:ascii="方正小标宋简体" w:hAnsi="方正小标宋简体" w:eastAsia="方正小标宋简体" w:cs="方正小标宋简体"/>
          <w:b w:val="0"/>
          <w:bCs w:val="0"/>
          <w:color w:val="000000" w:themeColor="text1"/>
          <w:sz w:val="72"/>
          <w:szCs w:val="72"/>
          <w14:textFill>
            <w14:solidFill>
              <w14:schemeClr w14:val="tx1"/>
            </w14:solidFill>
          </w14:textFill>
        </w:rPr>
      </w:pPr>
    </w:p>
    <w:p w14:paraId="7E0EEFF8">
      <w:pPr>
        <w:tabs>
          <w:tab w:val="left" w:pos="735"/>
        </w:tabs>
        <w:snapToGrid w:val="0"/>
        <w:spacing w:before="100" w:beforeAutospacing="1" w:after="100" w:afterAutospacing="1" w:line="240" w:lineRule="auto"/>
        <w:ind w:left="0" w:leftChars="0" w:right="0" w:rightChars="0" w:firstLine="0" w:firstLineChars="0"/>
        <w:jc w:val="center"/>
        <w:rPr>
          <w:rFonts w:hint="eastAsia" w:ascii="宋体" w:hAnsi="宋体" w:cs="宋体"/>
          <w:b/>
          <w:bCs/>
          <w:color w:val="000000" w:themeColor="text1"/>
          <w:sz w:val="32"/>
          <w:szCs w:val="32"/>
          <w:u w:val="single"/>
          <w:lang w:val="en-US" w:eastAsia="zh-CN"/>
          <w14:textFill>
            <w14:solidFill>
              <w14:schemeClr w14:val="tx1"/>
            </w14:solidFill>
          </w14:textFill>
        </w:rPr>
      </w:pPr>
      <w:r>
        <w:rPr>
          <w:rFonts w:hint="eastAsia" w:ascii="宋体" w:hAnsi="宋体" w:eastAsia="宋体" w:cs="宋体"/>
          <w:b/>
          <w:bCs/>
          <w:color w:val="000000" w:themeColor="text1"/>
          <w:sz w:val="32"/>
          <w:szCs w:val="32"/>
          <w:lang w:val="en-US" w:eastAsia="zh-CN"/>
          <w14:textFill>
            <w14:solidFill>
              <w14:schemeClr w14:val="tx1"/>
            </w14:solidFill>
          </w14:textFill>
        </w:rPr>
        <w:t>甲方：</w:t>
      </w:r>
      <w:r>
        <w:rPr>
          <w:rFonts w:hint="eastAsia" w:ascii="宋体" w:hAnsi="宋体" w:cs="宋体"/>
          <w:b/>
          <w:bCs/>
          <w:color w:val="000000" w:themeColor="text1"/>
          <w:sz w:val="32"/>
          <w:szCs w:val="32"/>
          <w:u w:val="single"/>
          <w:lang w:val="en-US" w:eastAsia="zh-CN"/>
          <w14:textFill>
            <w14:solidFill>
              <w14:schemeClr w14:val="tx1"/>
            </w14:solidFill>
          </w14:textFill>
        </w:rPr>
        <w:t xml:space="preserve"> 陕西省应急救援保障中心（陕西省航空应急救援护林中心）</w:t>
      </w:r>
    </w:p>
    <w:p w14:paraId="2879A6E2">
      <w:pPr>
        <w:tabs>
          <w:tab w:val="left" w:pos="735"/>
        </w:tabs>
        <w:snapToGrid w:val="0"/>
        <w:spacing w:before="100" w:beforeAutospacing="1" w:after="100" w:afterAutospacing="1" w:line="240" w:lineRule="auto"/>
        <w:rPr>
          <w:rFonts w:hint="default" w:ascii="宋体" w:hAnsi="宋体" w:eastAsia="宋体" w:cs="宋体"/>
          <w:b w:val="0"/>
          <w:bCs w:val="0"/>
          <w:color w:val="000000" w:themeColor="text1"/>
          <w:sz w:val="32"/>
          <w:szCs w:val="32"/>
          <w:u w:val="single"/>
          <w:lang w:val="en-US" w:eastAsia="zh-CN"/>
          <w14:textFill>
            <w14:solidFill>
              <w14:schemeClr w14:val="tx1"/>
            </w14:solidFill>
          </w14:textFill>
        </w:rPr>
      </w:pPr>
      <w:r>
        <w:rPr>
          <w:rFonts w:hint="eastAsia" w:ascii="宋体" w:hAnsi="宋体" w:eastAsia="宋体" w:cs="宋体"/>
          <w:b/>
          <w:bCs/>
          <w:color w:val="000000" w:themeColor="text1"/>
          <w:sz w:val="32"/>
          <w:szCs w:val="32"/>
          <w:lang w:val="en-US" w:eastAsia="zh-CN"/>
          <w14:textFill>
            <w14:solidFill>
              <w14:schemeClr w14:val="tx1"/>
            </w14:solidFill>
          </w14:textFill>
        </w:rPr>
        <w:t>乙方：</w:t>
      </w:r>
      <w:r>
        <w:rPr>
          <w:rFonts w:hint="eastAsia" w:ascii="宋体" w:hAnsi="宋体" w:eastAsia="宋体" w:cs="宋体"/>
          <w:b/>
          <w:bCs/>
          <w:color w:val="000000" w:themeColor="text1"/>
          <w:sz w:val="32"/>
          <w:szCs w:val="32"/>
          <w:u w:val="single"/>
          <w:lang w:val="en-US" w:eastAsia="zh-CN"/>
          <w14:textFill>
            <w14:solidFill>
              <w14:schemeClr w14:val="tx1"/>
            </w14:solidFill>
          </w14:textFill>
        </w:rPr>
        <w:t xml:space="preserve">  </w:t>
      </w:r>
      <w:r>
        <w:rPr>
          <w:rFonts w:hint="eastAsia" w:ascii="宋体" w:hAnsi="宋体" w:cs="宋体"/>
          <w:b/>
          <w:bCs/>
          <w:color w:val="000000" w:themeColor="text1"/>
          <w:sz w:val="32"/>
          <w:szCs w:val="32"/>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32"/>
          <w:szCs w:val="32"/>
          <w:u w:val="single"/>
          <w:lang w:val="en-US" w:eastAsia="zh-CN"/>
          <w14:textFill>
            <w14:solidFill>
              <w14:schemeClr w14:val="tx1"/>
            </w14:solidFill>
          </w14:textFill>
        </w:rPr>
        <w:t xml:space="preserve">  </w:t>
      </w:r>
    </w:p>
    <w:p w14:paraId="57FE83A1">
      <w:pPr>
        <w:keepNext w:val="0"/>
        <w:keepLines w:val="0"/>
        <w:pageBreakBefore w:val="0"/>
        <w:tabs>
          <w:tab w:val="left" w:pos="735"/>
        </w:tabs>
        <w:kinsoku/>
        <w:wordWrap/>
        <w:overflowPunct/>
        <w:topLinePunct w:val="0"/>
        <w:autoSpaceDE w:val="0"/>
        <w:autoSpaceDN w:val="0"/>
        <w:bidi w:val="0"/>
        <w:adjustRightInd w:val="0"/>
        <w:snapToGrid w:val="0"/>
        <w:spacing w:line="500" w:lineRule="exact"/>
        <w:rPr>
          <w:rFonts w:hint="eastAsia" w:ascii="宋体" w:hAnsi="宋体" w:eastAsia="宋体" w:cs="宋体"/>
          <w:b/>
          <w:bCs/>
          <w:color w:val="000000" w:themeColor="text1"/>
          <w:sz w:val="24"/>
          <w:szCs w:val="24"/>
          <w:lang w:val="zh-CN"/>
          <w14:textFill>
            <w14:solidFill>
              <w14:schemeClr w14:val="tx1"/>
            </w14:solidFill>
          </w14:textFill>
        </w:rPr>
      </w:pPr>
    </w:p>
    <w:p w14:paraId="662B8598">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br w:type="page"/>
      </w:r>
    </w:p>
    <w:p w14:paraId="1EF634FE">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经甲、乙双方共同协商，甲方租用乙方</w:t>
      </w:r>
      <w:r>
        <w:rPr>
          <w:rFonts w:hint="eastAsia" w:ascii="仿宋" w:hAnsi="仿宋" w:eastAsia="仿宋" w:cs="仿宋"/>
          <w:color w:val="000000" w:themeColor="text1"/>
          <w:sz w:val="32"/>
          <w:szCs w:val="32"/>
          <w:lang w:val="en-US" w:eastAsia="zh-CN"/>
          <w14:textFill>
            <w14:solidFill>
              <w14:schemeClr w14:val="tx1"/>
            </w14:solidFill>
          </w14:textFill>
        </w:rPr>
        <w:t>KA-32等十</w:t>
      </w:r>
      <w:r>
        <w:rPr>
          <w:rFonts w:hint="eastAsia" w:ascii="仿宋" w:hAnsi="仿宋" w:eastAsia="仿宋" w:cs="仿宋"/>
          <w:color w:val="000000" w:themeColor="text1"/>
          <w:sz w:val="32"/>
          <w:szCs w:val="32"/>
          <w14:textFill>
            <w14:solidFill>
              <w14:schemeClr w14:val="tx1"/>
            </w14:solidFill>
          </w14:textFill>
        </w:rPr>
        <w:t>架直升机开展应急救援与航空护林作业，为明确双方权利义务关系，根据《中华人民共和国民法典》《森林防火条例》《通用航空飞行管制条例》等法律法规，签订本合同。</w:t>
      </w:r>
    </w:p>
    <w:p w14:paraId="4F819715">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textAlignment w:val="auto"/>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14:textFill>
            <w14:solidFill>
              <w14:schemeClr w14:val="tx1"/>
            </w14:solidFill>
          </w14:textFill>
        </w:rPr>
        <w:t>一、合同范围</w:t>
      </w:r>
    </w:p>
    <w:p w14:paraId="23585901">
      <w:pPr>
        <w:pStyle w:val="4"/>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auto"/>
          <w:sz w:val="32"/>
          <w:szCs w:val="32"/>
          <w:lang w:val="en-US" w:eastAsia="zh-CN"/>
        </w:rPr>
        <w:t>陕西省应急救援保障中心（陕西省航空应急救援护林中心）</w:t>
      </w:r>
      <w:r>
        <w:rPr>
          <w:rFonts w:hint="eastAsia" w:ascii="仿宋" w:hAnsi="仿宋" w:eastAsia="仿宋" w:cs="仿宋"/>
          <w:color w:val="auto"/>
          <w:sz w:val="32"/>
          <w:szCs w:val="32"/>
        </w:rPr>
        <w:t>关于</w:t>
      </w:r>
      <w:r>
        <w:rPr>
          <w:rFonts w:hint="eastAsia" w:ascii="仿宋" w:hAnsi="仿宋" w:eastAsia="仿宋" w:cs="仿宋"/>
          <w:color w:val="000000" w:themeColor="text1"/>
          <w:sz w:val="32"/>
          <w:szCs w:val="32"/>
          <w:lang w:val="en-US" w:eastAsia="zh-CN"/>
          <w14:textFill>
            <w14:solidFill>
              <w14:schemeClr w14:val="tx1"/>
            </w14:solidFill>
          </w14:textFill>
        </w:rPr>
        <w:t>2026年森林草原航空消防租机项目</w:t>
      </w:r>
      <w:r>
        <w:rPr>
          <w:rFonts w:hint="eastAsia" w:ascii="仿宋" w:hAnsi="仿宋" w:eastAsia="仿宋" w:cs="仿宋"/>
          <w:color w:val="000000" w:themeColor="text1"/>
          <w:sz w:val="32"/>
          <w:szCs w:val="32"/>
          <w14:textFill>
            <w14:solidFill>
              <w14:schemeClr w14:val="tx1"/>
            </w14:solidFill>
          </w14:textFill>
        </w:rPr>
        <w:t>的招标文件、答疑文件及采购清单的全部内容，乙方承诺保证完全按照合同约定提供合同设备和技术服务和质量保证期服务并修补缺陷。</w:t>
      </w:r>
    </w:p>
    <w:p w14:paraId="3C23BFD7">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二、租赁机型（含机组）</w:t>
      </w:r>
    </w:p>
    <w:p w14:paraId="38D993A6">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default" w:ascii="仿宋" w:hAnsi="仿宋" w:eastAsia="仿宋" w:cs="仿宋"/>
          <w:b w:val="0"/>
          <w:bCs w:val="0"/>
          <w:color w:val="000000" w:themeColor="text1"/>
          <w:kern w:val="0"/>
          <w:sz w:val="32"/>
          <w:szCs w:val="32"/>
          <w:lang w:val="en-US" w:eastAsia="zh-CN" w:bidi="ar-SA"/>
          <w14:textFill>
            <w14:solidFill>
              <w14:schemeClr w14:val="tx1"/>
            </w14:solidFill>
          </w14:textFill>
        </w:rPr>
      </w:pPr>
      <w:r>
        <w:rPr>
          <w:rFonts w:hint="eastAsia" w:ascii="仿宋" w:hAnsi="仿宋" w:eastAsia="仿宋" w:cs="仿宋"/>
          <w:b w:val="0"/>
          <w:bCs w:val="0"/>
          <w:color w:val="000000" w:themeColor="text1"/>
          <w:kern w:val="0"/>
          <w:sz w:val="32"/>
          <w:szCs w:val="32"/>
          <w:lang w:val="en-US" w:eastAsia="zh-CN" w:bidi="ar-SA"/>
          <w14:textFill>
            <w14:solidFill>
              <w14:schemeClr w14:val="tx1"/>
            </w14:solidFill>
          </w14:textFill>
        </w:rPr>
        <w:t>见附件1.</w:t>
      </w:r>
    </w:p>
    <w:p w14:paraId="42F6D3F5">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textAlignment w:val="auto"/>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三</w:t>
      </w:r>
      <w:r>
        <w:rPr>
          <w:rFonts w:hint="eastAsia" w:ascii="黑体" w:hAnsi="黑体" w:eastAsia="黑体" w:cs="黑体"/>
          <w:b w:val="0"/>
          <w:bCs w:val="0"/>
          <w:color w:val="000000" w:themeColor="text1"/>
          <w:sz w:val="32"/>
          <w:szCs w:val="32"/>
          <w14:textFill>
            <w14:solidFill>
              <w14:schemeClr w14:val="tx1"/>
            </w14:solidFill>
          </w14:textFill>
        </w:rPr>
        <w:t>、合同价款</w:t>
      </w:r>
    </w:p>
    <w:p w14:paraId="31F3521C">
      <w:pPr>
        <w:keepNext w:val="0"/>
        <w:keepLines w:val="0"/>
        <w:pageBreakBefore w:val="0"/>
        <w:widowControl w:val="0"/>
        <w:suppressLineNumbers w:val="0"/>
        <w:kinsoku/>
        <w:wordWrap/>
        <w:overflowPunct/>
        <w:topLinePunct w:val="0"/>
        <w:autoSpaceDE w:val="0"/>
        <w:autoSpaceDN w:val="0"/>
        <w:bidi w:val="0"/>
        <w:adjustRightInd/>
        <w:snapToGrid/>
        <w:spacing w:beforeAutospacing="0" w:afterAutospacing="0" w:line="240" w:lineRule="auto"/>
        <w:ind w:left="0" w:right="0"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lang w:val="en-US" w:eastAsia="zh-CN"/>
          <w14:textFill>
            <w14:solidFill>
              <w14:schemeClr w14:val="tx1"/>
            </w14:solidFill>
          </w14:textFill>
        </w:rPr>
        <w:t>合同价格</w:t>
      </w:r>
    </w:p>
    <w:p w14:paraId="7B8949B6">
      <w:pPr>
        <w:keepNext w:val="0"/>
        <w:keepLines w:val="0"/>
        <w:pageBreakBefore w:val="0"/>
        <w:widowControl w:val="0"/>
        <w:suppressLineNumbers w:val="0"/>
        <w:kinsoku/>
        <w:wordWrap/>
        <w:overflowPunct/>
        <w:topLinePunct w:val="0"/>
        <w:autoSpaceDE w:val="0"/>
        <w:autoSpaceDN w:val="0"/>
        <w:bidi w:val="0"/>
        <w:adjustRightInd/>
        <w:snapToGrid/>
        <w:spacing w:beforeAutospacing="0" w:afterAutospacing="0" w:line="240" w:lineRule="auto"/>
        <w:ind w:left="0" w:right="0" w:firstLine="640" w:firstLineChars="200"/>
        <w:jc w:val="both"/>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（1）合同总价：</w:t>
      </w:r>
      <w:r>
        <w:rPr>
          <w:rFonts w:hint="eastAsia" w:ascii="仿宋" w:hAnsi="仿宋" w:eastAsia="仿宋" w:cs="仿宋"/>
          <w:color w:val="000000" w:themeColor="text1"/>
          <w:kern w:val="0"/>
          <w:sz w:val="32"/>
          <w:szCs w:val="32"/>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32"/>
          <w:szCs w:val="32"/>
          <w:lang w:val="en-US" w:eastAsia="zh-CN" w:bidi="ar-SA"/>
          <w14:textFill>
            <w14:solidFill>
              <w14:schemeClr w14:val="tx1"/>
            </w14:solidFill>
          </w14:textFill>
        </w:rPr>
        <w:t>元（大写：</w:t>
      </w:r>
      <w:r>
        <w:rPr>
          <w:rFonts w:hint="eastAsia" w:ascii="仿宋" w:hAnsi="仿宋" w:eastAsia="仿宋" w:cs="仿宋"/>
          <w:color w:val="000000" w:themeColor="text1"/>
          <w:kern w:val="0"/>
          <w:sz w:val="32"/>
          <w:szCs w:val="32"/>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32"/>
          <w:szCs w:val="32"/>
          <w:lang w:val="en-US" w:eastAsia="zh-CN" w:bidi="ar-SA"/>
          <w14:textFill>
            <w14:solidFill>
              <w14:schemeClr w14:val="tx1"/>
            </w14:solidFill>
          </w14:textFill>
        </w:rPr>
        <w:t>元整）。</w:t>
      </w:r>
    </w:p>
    <w:p w14:paraId="5665D7FF">
      <w:pPr>
        <w:pStyle w:val="2"/>
        <w:pageBreakBefore w:val="0"/>
        <w:widowControl w:val="0"/>
        <w:kinsoku/>
        <w:wordWrap/>
        <w:overflowPunct/>
        <w:topLinePunct w:val="0"/>
        <w:bidi w:val="0"/>
        <w:adjustRightInd/>
        <w:snapToGrid/>
        <w:spacing w:before="0" w:after="0" w:line="240" w:lineRule="auto"/>
        <w:ind w:firstLine="640" w:firstLineChars="200"/>
        <w:textAlignment w:val="auto"/>
        <w:rPr>
          <w:rFonts w:hint="default" w:ascii="仿宋" w:hAnsi="仿宋" w:eastAsia="仿宋" w:cs="仿宋"/>
          <w:b w:val="0"/>
          <w:bCs w:val="0"/>
          <w:color w:val="000000" w:themeColor="text1"/>
          <w:kern w:val="0"/>
          <w:sz w:val="32"/>
          <w:szCs w:val="32"/>
          <w:lang w:val="en-US" w:eastAsia="zh-CN" w:bidi="ar-SA"/>
          <w14:textFill>
            <w14:solidFill>
              <w14:schemeClr w14:val="tx1"/>
            </w14:solidFill>
          </w14:textFill>
        </w:rPr>
      </w:pPr>
      <w:r>
        <w:rPr>
          <w:rFonts w:hint="eastAsia" w:ascii="仿宋" w:hAnsi="仿宋" w:eastAsia="仿宋" w:cs="仿宋"/>
          <w:b w:val="0"/>
          <w:bCs w:val="0"/>
          <w:color w:val="000000" w:themeColor="text1"/>
          <w:kern w:val="0"/>
          <w:sz w:val="32"/>
          <w:szCs w:val="32"/>
          <w:lang w:val="en-US" w:eastAsia="zh-CN" w:bidi="ar-SA"/>
          <w14:textFill>
            <w14:solidFill>
              <w14:schemeClr w14:val="tx1"/>
            </w14:solidFill>
          </w14:textFill>
        </w:rPr>
        <w:t>（2）计费单价见附件1。</w:t>
      </w:r>
    </w:p>
    <w:p w14:paraId="482AC6D2">
      <w:pPr>
        <w:keepNext w:val="0"/>
        <w:keepLines w:val="0"/>
        <w:pageBreakBefore w:val="0"/>
        <w:widowControl w:val="0"/>
        <w:suppressLineNumbers w:val="0"/>
        <w:kinsoku/>
        <w:wordWrap/>
        <w:overflowPunct/>
        <w:topLinePunct w:val="0"/>
        <w:autoSpaceDE w:val="0"/>
        <w:autoSpaceDN w:val="0"/>
        <w:bidi w:val="0"/>
        <w:adjustRightInd/>
        <w:snapToGrid/>
        <w:spacing w:beforeAutospacing="0" w:afterAutospacing="0" w:line="240" w:lineRule="auto"/>
        <w:ind w:left="0" w:right="0"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合同总价包括：包括满足本次采购全部内容所需的全部费用，包括但不限于服务所需的飞机设备的报价及所发生的：服务费、人工费、保险、维修保养、税费、税金、利润、市场价格风险及完成本项目所需的一切相关费用。</w:t>
      </w:r>
    </w:p>
    <w:p w14:paraId="1D69AF15">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3.本航期按低限小时和驻场天数计费，并扣除违约责任条款中规定的费用；如实际飞行超过低限小时或甲方要求延长驻场天数时，按实际飞行小时和驻场天数计费，并扣除违约责任条款中规定的费用。</w:t>
      </w:r>
    </w:p>
    <w:p w14:paraId="1E8D7B62">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四</w:t>
      </w:r>
      <w:r>
        <w:rPr>
          <w:rFonts w:hint="eastAsia" w:ascii="黑体" w:hAnsi="黑体" w:eastAsia="黑体" w:cs="黑体"/>
          <w:b w:val="0"/>
          <w:bCs w:val="0"/>
          <w:color w:val="000000" w:themeColor="text1"/>
          <w:sz w:val="32"/>
          <w:szCs w:val="32"/>
          <w14:textFill>
            <w14:solidFill>
              <w14:schemeClr w14:val="tx1"/>
            </w14:solidFill>
          </w14:textFill>
        </w:rPr>
        <w:t>、付款及结算方式</w:t>
      </w:r>
    </w:p>
    <w:p w14:paraId="4161289C">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1.付款方式：</w:t>
      </w:r>
      <w:r>
        <w:rPr>
          <w:rFonts w:hint="eastAsia" w:ascii="仿宋" w:hAnsi="仿宋" w:eastAsia="仿宋" w:cs="仿宋"/>
          <w:color w:val="000000" w:themeColor="text1"/>
          <w:sz w:val="32"/>
          <w:szCs w:val="32"/>
          <w:lang w:val="en-US" w:eastAsia="zh-CN"/>
          <w14:textFill>
            <w14:solidFill>
              <w14:schemeClr w14:val="tx1"/>
            </w14:solidFill>
          </w14:textFill>
        </w:rPr>
        <w:t>合同生效后30日内，支付合同总金额的40%;服务期满30日内，支付合同总金额的60%，同时中标人提供合同金额10%的保函，待财政清算结束后根据清算结果退还。</w:t>
      </w:r>
    </w:p>
    <w:p w14:paraId="6E68E563">
      <w:pPr>
        <w:pStyle w:val="2"/>
        <w:pageBreakBefore w:val="0"/>
        <w:widowControl w:val="0"/>
        <w:kinsoku/>
        <w:wordWrap/>
        <w:overflowPunct/>
        <w:topLinePunct w:val="0"/>
        <w:bidi w:val="0"/>
        <w:adjustRightInd/>
        <w:snapToGrid/>
        <w:spacing w:before="0" w:after="0" w:line="240" w:lineRule="auto"/>
        <w:ind w:firstLine="640" w:firstLineChars="200"/>
        <w:textAlignment w:val="auto"/>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注：（1）因财政资金下达存在不确定性，采购方可根据财政资金实际到位情况付款，顺延付款不视为采购人违约。</w:t>
      </w:r>
    </w:p>
    <w:p w14:paraId="14D442E3">
      <w:pPr>
        <w:pStyle w:val="2"/>
        <w:pageBreakBefore w:val="0"/>
        <w:widowControl w:val="0"/>
        <w:kinsoku/>
        <w:wordWrap/>
        <w:overflowPunct/>
        <w:topLinePunct w:val="0"/>
        <w:bidi w:val="0"/>
        <w:adjustRightInd/>
        <w:snapToGrid/>
        <w:spacing w:before="0" w:after="0" w:line="240" w:lineRule="auto"/>
        <w:textAlignment w:val="auto"/>
        <w:rPr>
          <w:rFonts w:hint="eastAsia"/>
          <w:color w:val="000000" w:themeColor="text1"/>
          <w14:textFill>
            <w14:solidFill>
              <w14:schemeClr w14:val="tx1"/>
            </w14:solidFill>
          </w14:textFill>
        </w:rPr>
      </w:pP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（2）本项目支付和核算按财政部《中央补助地方航空消防救援租机经费管理规定》（财资环﹝2026﹞1号）执行，项目最终结算金额以合同约定的支付方式为准。</w:t>
      </w:r>
    </w:p>
    <w:p w14:paraId="55609AE5">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2.结算方式：银行转账。</w:t>
      </w:r>
    </w:p>
    <w:p w14:paraId="311D1F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kern w:val="2"/>
          <w:sz w:val="32"/>
          <w:szCs w:val="32"/>
          <w:lang w:val="en-US" w:eastAsia="zh-CN" w:bidi="ar"/>
          <w14:textFill>
            <w14:solidFill>
              <w14:schemeClr w14:val="tx1"/>
            </w14:solidFill>
          </w14:textFill>
        </w:rPr>
        <w:t>计费项目：</w:t>
      </w:r>
    </w:p>
    <w:p w14:paraId="5516EC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单程调机时间</w:t>
      </w:r>
      <w:r>
        <w:rPr>
          <w:rFonts w:hint="eastAsia" w:ascii="仿宋" w:hAnsi="仿宋" w:cs="仿宋"/>
          <w:b w:val="0"/>
          <w:bCs w:val="0"/>
          <w:color w:val="000000" w:themeColor="text1"/>
          <w:kern w:val="2"/>
          <w:sz w:val="32"/>
          <w:szCs w:val="32"/>
          <w:lang w:val="en-US" w:eastAsia="zh-CN" w:bidi="ar-SA"/>
          <w14:textFill>
            <w14:solidFill>
              <w14:schemeClr w14:val="tx1"/>
            </w14:solidFill>
          </w14:textFill>
        </w:rPr>
        <w:t>：</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按本航期所在航空护林基地至甲、乙双方商定的乙方基地的理论飞行时间计算，调机时间占低</w:t>
      </w:r>
      <w:r>
        <w:rPr>
          <w:rFonts w:hint="eastAsia" w:ascii="仿宋" w:hAnsi="仿宋" w:eastAsia="仿宋" w:cs="仿宋"/>
          <w:b w:val="0"/>
          <w:bCs w:val="0"/>
          <w:color w:val="auto"/>
          <w:kern w:val="2"/>
          <w:sz w:val="32"/>
          <w:szCs w:val="32"/>
          <w:lang w:val="en-US" w:eastAsia="zh-CN" w:bidi="ar-SA"/>
        </w:rPr>
        <w:t>限小时数；</w:t>
      </w:r>
    </w:p>
    <w:p w14:paraId="24FE2A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（2）飞行时间：</w:t>
      </w:r>
      <w:r>
        <w:rPr>
          <w:rFonts w:hint="eastAsia" w:ascii="仿宋" w:hAnsi="仿宋" w:eastAsia="仿宋" w:cs="仿宋"/>
          <w:b w:val="0"/>
          <w:bCs w:val="0"/>
          <w:color w:val="auto"/>
          <w:kern w:val="2"/>
          <w:sz w:val="32"/>
          <w:szCs w:val="32"/>
          <w:lang w:val="en-US" w:eastAsia="zh-CN" w:bidi="ar-SA"/>
        </w:rPr>
        <w:t>自直升机的旋翼开始转动时起到直升机飞行结束停止移动及旋翼停止转动为止</w:t>
      </w:r>
      <w:r>
        <w:rPr>
          <w:rFonts w:hint="eastAsia" w:ascii="仿宋" w:hAnsi="仿宋" w:eastAsia="仿宋" w:cs="仿宋"/>
          <w:color w:val="auto"/>
          <w:kern w:val="2"/>
          <w:sz w:val="32"/>
          <w:szCs w:val="32"/>
          <w:lang w:val="en-US" w:eastAsia="zh-CN" w:bidi="ar"/>
        </w:rPr>
        <w:t>（飞行时间计算到分）；</w:t>
      </w:r>
    </w:p>
    <w:p w14:paraId="41B84B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（3）飞机因故障返航前的飞行时间；</w:t>
      </w:r>
    </w:p>
    <w:p w14:paraId="2DF65E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（4）</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驻场天数</w:t>
      </w:r>
      <w:r>
        <w:rPr>
          <w:rFonts w:hint="eastAsia" w:ascii="仿宋" w:hAnsi="仿宋" w:cs="仿宋"/>
          <w:b w:val="0"/>
          <w:bCs w:val="0"/>
          <w:color w:val="000000" w:themeColor="text1"/>
          <w:kern w:val="2"/>
          <w:sz w:val="32"/>
          <w:szCs w:val="32"/>
          <w:lang w:val="en-US" w:eastAsia="zh-CN" w:bidi="ar-SA"/>
          <w14:textFill>
            <w14:solidFill>
              <w14:schemeClr w14:val="tx1"/>
            </w14:solidFill>
          </w14:textFill>
        </w:rPr>
        <w:t>：</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从飞机调到甲方指定航空护林基地当日起至双方商定调出当日止。</w:t>
      </w:r>
    </w:p>
    <w:p w14:paraId="0A21AF7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结算方式：由甲方统计飞行时间及费用，按月与乙方核准。甲方收到乙方核对后的《飞行时间及费用结算单》和《月份飞行时间结算单》，再次进行核对无误后，甲方在乙方完成合同提供的服务后结算飞行费，付款前乙方提供等额发票给甲方。</w:t>
      </w:r>
    </w:p>
    <w:p w14:paraId="0C58F43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黑体" w:hAnsi="黑体" w:eastAsia="黑体" w:cs="黑体"/>
          <w:color w:val="000000" w:themeColor="text1"/>
          <w:kern w:val="2"/>
          <w:sz w:val="32"/>
          <w:szCs w:val="32"/>
          <w:lang w:val="en-US" w:eastAsia="zh-CN" w:bidi="ar"/>
          <w14:textFill>
            <w14:solidFill>
              <w14:schemeClr w14:val="tx1"/>
            </w14:solidFill>
          </w14:textFill>
        </w:rPr>
      </w:pPr>
      <w:r>
        <w:rPr>
          <w:rFonts w:hint="eastAsia" w:ascii="黑体" w:hAnsi="黑体" w:eastAsia="黑体" w:cs="黑体"/>
          <w:color w:val="000000" w:themeColor="text1"/>
          <w:kern w:val="2"/>
          <w:sz w:val="32"/>
          <w:szCs w:val="32"/>
          <w:lang w:val="en-US" w:eastAsia="zh-CN" w:bidi="ar"/>
          <w14:textFill>
            <w14:solidFill>
              <w14:schemeClr w14:val="tx1"/>
            </w14:solidFill>
          </w14:textFill>
        </w:rPr>
        <w:t>五、履行期限、地点及方式:</w:t>
      </w:r>
    </w:p>
    <w:p w14:paraId="6467C7E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1.履行期限：</w:t>
      </w:r>
      <w:r>
        <w:rPr>
          <w:rFonts w:hint="eastAsia" w:ascii="仿宋" w:hAnsi="仿宋" w:eastAsia="仿宋" w:cs="仿宋"/>
          <w:color w:val="000000" w:themeColor="text1"/>
          <w:sz w:val="32"/>
          <w:szCs w:val="32"/>
          <w:lang w:val="en-US" w:eastAsia="zh-CN"/>
          <w14:textFill>
            <w14:solidFill>
              <w14:schemeClr w14:val="tx1"/>
            </w14:solidFill>
          </w14:textFill>
        </w:rPr>
        <w:t>见附件1</w:t>
      </w:r>
      <w:r>
        <w:rPr>
          <w:rFonts w:hint="eastAsia" w:ascii="仿宋" w:hAnsi="仿宋" w:eastAsia="仿宋" w:cs="仿宋"/>
          <w:color w:val="000000" w:themeColor="text1"/>
          <w:sz w:val="32"/>
          <w:szCs w:val="32"/>
          <w14:textFill>
            <w14:solidFill>
              <w14:schemeClr w14:val="tx1"/>
            </w14:solidFill>
          </w14:textFill>
        </w:rPr>
        <w:t>。</w:t>
      </w:r>
    </w:p>
    <w:p w14:paraId="472BEB3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2.履约地点：</w:t>
      </w:r>
    </w:p>
    <w:p w14:paraId="09CAE2CB">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（1）甲方指定省内常态化或靠前驻防区域；</w:t>
      </w:r>
    </w:p>
    <w:p w14:paraId="16F0C46E">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（2）甲方执行航空应急救援等任务区域；</w:t>
      </w:r>
    </w:p>
    <w:p w14:paraId="5407F970">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（3）应急管理部调派的跨省支援任务区域。</w:t>
      </w:r>
    </w:p>
    <w:p w14:paraId="2EB93E1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黑体" w:hAnsi="黑体" w:eastAsia="黑体" w:cs="黑体"/>
          <w:color w:val="000000" w:themeColor="text1"/>
          <w:kern w:val="2"/>
          <w:sz w:val="32"/>
          <w:szCs w:val="32"/>
          <w:lang w:val="en-US" w:eastAsia="zh-CN" w:bidi="ar"/>
          <w14:textFill>
            <w14:solidFill>
              <w14:schemeClr w14:val="tx1"/>
            </w14:solidFill>
          </w14:textFill>
        </w:rPr>
      </w:pPr>
      <w:r>
        <w:rPr>
          <w:rFonts w:hint="eastAsia" w:ascii="黑体" w:hAnsi="黑体" w:eastAsia="黑体" w:cs="黑体"/>
          <w:color w:val="000000" w:themeColor="text1"/>
          <w:kern w:val="2"/>
          <w:sz w:val="32"/>
          <w:szCs w:val="32"/>
          <w:lang w:val="en-US" w:eastAsia="zh-CN" w:bidi="ar"/>
          <w14:textFill>
            <w14:solidFill>
              <w14:schemeClr w14:val="tx1"/>
            </w14:solidFill>
          </w14:textFill>
        </w:rPr>
        <w:t>六、违约责任</w:t>
      </w:r>
    </w:p>
    <w:p w14:paraId="4390B08D">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（一）如乙方事先未征得甲方同意并得到甲方的谅解而单方面延迟交付，每延期一天，应向甲方支付合同额</w:t>
      </w: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lang w:val="en-US" w:eastAsia="zh-CN"/>
          <w14:textFill>
            <w14:solidFill>
              <w14:schemeClr w14:val="tx1"/>
            </w14:solidFill>
          </w14:textFill>
        </w:rPr>
        <w:t>%的违约金，延期超过30天的，甲方有权解除合同并要求乙方赔偿全部损失。</w:t>
      </w:r>
    </w:p>
    <w:p w14:paraId="79071F7C">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（二）因乙方原因直升机无法进驻，未能履行合同，乙方承担违约责任，退还甲方已支付的费用，并按合同金额的10%向甲方支付违约金。</w:t>
      </w:r>
    </w:p>
    <w:p w14:paraId="27D63B1E">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B050"/>
          <w:sz w:val="32"/>
          <w:szCs w:val="32"/>
          <w:lang w:val="en-US" w:eastAsia="zh-CN"/>
        </w:rPr>
      </w:pPr>
      <w:r>
        <w:rPr>
          <w:rFonts w:hint="eastAsia" w:ascii="仿宋" w:hAnsi="仿宋" w:eastAsia="仿宋" w:cs="仿宋"/>
          <w:color w:val="00B050"/>
          <w:sz w:val="32"/>
          <w:szCs w:val="32"/>
          <w:lang w:val="en-US" w:eastAsia="zh-CN"/>
        </w:rPr>
        <w:t>（三）由下列情形之一，甲方有权终止合同，对乙方违约行为进行追究，同时按政府采购法的有关规定进行相应的处罚。</w:t>
      </w:r>
    </w:p>
    <w:p w14:paraId="641C2A41">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B050"/>
          <w:sz w:val="32"/>
          <w:szCs w:val="32"/>
          <w:lang w:val="en-US" w:eastAsia="zh-CN"/>
        </w:rPr>
      </w:pPr>
      <w:r>
        <w:rPr>
          <w:rFonts w:hint="eastAsia" w:ascii="仿宋" w:hAnsi="仿宋" w:eastAsia="仿宋" w:cs="仿宋"/>
          <w:color w:val="00B050"/>
          <w:sz w:val="32"/>
          <w:szCs w:val="32"/>
          <w:lang w:val="en-US" w:eastAsia="zh-CN"/>
        </w:rPr>
        <w:t>1.乙方未按合同要求按时交付或验收时不能满足技术要求的。</w:t>
      </w:r>
    </w:p>
    <w:p w14:paraId="16D595E6">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default" w:ascii="仿宋" w:hAnsi="仿宋" w:eastAsia="仿宋" w:cs="仿宋"/>
          <w:color w:val="00B050"/>
          <w:sz w:val="32"/>
          <w:szCs w:val="32"/>
          <w:lang w:val="en-US" w:eastAsia="zh-CN"/>
        </w:rPr>
      </w:pPr>
      <w:r>
        <w:rPr>
          <w:rFonts w:hint="eastAsia" w:ascii="仿宋" w:hAnsi="仿宋" w:eastAsia="仿宋" w:cs="仿宋"/>
          <w:color w:val="00B050"/>
          <w:sz w:val="32"/>
          <w:szCs w:val="32"/>
          <w:lang w:val="en-US" w:eastAsia="zh-CN"/>
        </w:rPr>
        <w:t>2.乙方无正当理由拒不执行甲方安排的任务造成严重后果或恶劣舆论影响的。</w:t>
      </w:r>
    </w:p>
    <w:p w14:paraId="336F76DC">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（四）有下列情形之一，甲方扣除乙方相应直升机每天2小时飞行费和日租金。</w:t>
      </w:r>
    </w:p>
    <w:p w14:paraId="49958141">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1.无不可抗因素影响，少于合同约定驻场的天数。</w:t>
      </w:r>
    </w:p>
    <w:p w14:paraId="1698062E">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2.乙方机组无正当理由不服从甲方安排任务的天数。 </w:t>
      </w:r>
    </w:p>
    <w:p w14:paraId="33FBE949">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3.乙方机组人为原因及直升机故障造成意外事故停飞的天数。</w:t>
      </w:r>
    </w:p>
    <w:p w14:paraId="6BA26C7D">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4.未协调办理好飞行保障相关手续等导致停飞的天数。</w:t>
      </w:r>
    </w:p>
    <w:p w14:paraId="2E2FC1F2">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5.未按规定配备相应设备的天数或设备未处于适用状态的天数。</w:t>
      </w:r>
    </w:p>
    <w:p w14:paraId="0A667726">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（五）有下列情形之一，甲方扣除乙方相应直升机每天1小时飞行费和日租金。</w:t>
      </w:r>
    </w:p>
    <w:p w14:paraId="23207D56">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1.因不可抗因素或乙方原因，少于合同约定驻场的天数。</w:t>
      </w:r>
    </w:p>
    <w:p w14:paraId="24F56217">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2.因机组人员缺勤或与合同约定不匹配不能执行任务的天数。</w:t>
      </w:r>
    </w:p>
    <w:p w14:paraId="12401CC2">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3.因油料等保障事宜不能执行任务的天数。</w:t>
      </w:r>
    </w:p>
    <w:p w14:paraId="1387C04B">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4.直升机定检时间超过本协议约定的天数。</w:t>
      </w:r>
    </w:p>
    <w:p w14:paraId="0883B95E">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5.定检超过规定的天数。</w:t>
      </w:r>
    </w:p>
    <w:p w14:paraId="1F1766AD">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（六）有下列情形，甲方扣除乙方任务直升机相应飞行小时费。</w:t>
      </w:r>
    </w:p>
    <w:p w14:paraId="6180FF2A">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无不可抗因素影响，乙方未按甲方要求执行任务或任务执行质量未达标(参照陕西省应急救援与航空护林中心《航空应急救援飞行考核评估办法（试行）》中作业考核表要求)。</w:t>
      </w:r>
    </w:p>
    <w:p w14:paraId="452F538B">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七</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其他情况</w:t>
      </w:r>
      <w:r>
        <w:rPr>
          <w:rFonts w:hint="eastAsia" w:ascii="仿宋" w:hAnsi="仿宋" w:eastAsia="仿宋" w:cs="仿宋"/>
          <w:color w:val="000000" w:themeColor="text1"/>
          <w:sz w:val="32"/>
          <w:szCs w:val="32"/>
          <w14:textFill>
            <w14:solidFill>
              <w14:schemeClr w14:val="tx1"/>
            </w14:solidFill>
          </w14:textFill>
        </w:rPr>
        <w:t>按《中华人民共和国民法典》中的相关条款执行。</w:t>
      </w:r>
    </w:p>
    <w:p w14:paraId="58CBD7A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黑体" w:hAnsi="黑体" w:eastAsia="黑体" w:cs="黑体"/>
          <w:color w:val="000000" w:themeColor="text1"/>
          <w:kern w:val="2"/>
          <w:sz w:val="32"/>
          <w:szCs w:val="32"/>
          <w:lang w:val="en-US" w:eastAsia="zh-CN" w:bidi="ar"/>
          <w14:textFill>
            <w14:solidFill>
              <w14:schemeClr w14:val="tx1"/>
            </w14:solidFill>
          </w14:textFill>
        </w:rPr>
      </w:pPr>
      <w:r>
        <w:rPr>
          <w:rFonts w:hint="eastAsia" w:ascii="黑体" w:hAnsi="黑体" w:eastAsia="黑体" w:cs="黑体"/>
          <w:color w:val="000000" w:themeColor="text1"/>
          <w:kern w:val="2"/>
          <w:sz w:val="32"/>
          <w:szCs w:val="32"/>
          <w:lang w:val="en-US" w:eastAsia="zh-CN" w:bidi="ar"/>
          <w14:textFill>
            <w14:solidFill>
              <w14:schemeClr w14:val="tx1"/>
            </w14:solidFill>
          </w14:textFill>
        </w:rPr>
        <w:t>七、甲方权利</w:t>
      </w:r>
    </w:p>
    <w:p w14:paraId="4870A150">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1.飞机达到作业基地当日，甲方应立即和机组人员按照合同内容对飞机及设备进行验收，验收合格后双方签字确认。</w:t>
      </w:r>
    </w:p>
    <w:p w14:paraId="49EBE915">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2.服务期内，甲方对飞机拥有调度指挥权。</w:t>
      </w:r>
    </w:p>
    <w:p w14:paraId="0BB5B980">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rPr>
        <w:t>3.未经甲方同意，乙方不得自行安排飞行。</w:t>
      </w:r>
    </w:p>
    <w:p w14:paraId="14948500">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rPr>
        <w:t>4.根据工作需要，甲方可安排</w:t>
      </w:r>
      <w:r>
        <w:rPr>
          <w:rFonts w:hint="eastAsia" w:ascii="仿宋" w:hAnsi="仿宋" w:eastAsia="仿宋" w:cs="仿宋"/>
          <w:color w:val="auto"/>
          <w:sz w:val="32"/>
          <w:szCs w:val="32"/>
          <w:lang w:val="en-US" w:eastAsia="zh-CN"/>
        </w:rPr>
        <w:t>救援人员或任务有关人员</w:t>
      </w:r>
      <w:r>
        <w:rPr>
          <w:rFonts w:hint="eastAsia" w:ascii="仿宋" w:hAnsi="仿宋" w:eastAsia="仿宋" w:cs="仿宋"/>
          <w:color w:val="auto"/>
          <w:sz w:val="32"/>
          <w:szCs w:val="32"/>
        </w:rPr>
        <w:t>随机</w:t>
      </w:r>
      <w:r>
        <w:rPr>
          <w:rFonts w:hint="eastAsia" w:ascii="仿宋" w:hAnsi="仿宋" w:eastAsia="仿宋" w:cs="仿宋"/>
          <w:color w:val="auto"/>
          <w:sz w:val="32"/>
          <w:szCs w:val="32"/>
          <w:lang w:val="en-US" w:eastAsia="zh-CN"/>
        </w:rPr>
        <w:t>执行相关任务</w:t>
      </w:r>
      <w:r>
        <w:rPr>
          <w:rFonts w:hint="eastAsia" w:ascii="仿宋" w:hAnsi="仿宋" w:eastAsia="仿宋" w:cs="仿宋"/>
          <w:color w:val="auto"/>
          <w:sz w:val="32"/>
          <w:szCs w:val="32"/>
        </w:rPr>
        <w:t>。</w:t>
      </w:r>
    </w:p>
    <w:p w14:paraId="58DD4988">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rPr>
        <w:t>5.确因工作需要乘机的，须经甲方审查并经甲方主管领导同意，乘机人员须在甲方《</w:t>
      </w:r>
      <w:r>
        <w:rPr>
          <w:rFonts w:hint="eastAsia" w:ascii="仿宋" w:hAnsi="仿宋" w:eastAsia="仿宋" w:cs="仿宋"/>
          <w:color w:val="auto"/>
          <w:sz w:val="32"/>
          <w:szCs w:val="32"/>
          <w:lang w:val="en-US" w:eastAsia="zh-CN"/>
        </w:rPr>
        <w:t>应急救援直升机登记审批表</w:t>
      </w:r>
      <w:r>
        <w:rPr>
          <w:rFonts w:hint="eastAsia" w:ascii="仿宋" w:hAnsi="仿宋" w:eastAsia="仿宋" w:cs="仿宋"/>
          <w:color w:val="auto"/>
          <w:sz w:val="32"/>
          <w:szCs w:val="32"/>
        </w:rPr>
        <w:t>》上签字后方可乘机</w:t>
      </w:r>
      <w:r>
        <w:rPr>
          <w:rFonts w:hint="eastAsia" w:ascii="仿宋" w:hAnsi="仿宋" w:eastAsia="仿宋" w:cs="仿宋"/>
          <w:color w:val="auto"/>
          <w:sz w:val="32"/>
          <w:szCs w:val="32"/>
          <w:lang w:eastAsia="zh-CN"/>
        </w:rPr>
        <w:t>。</w:t>
      </w:r>
    </w:p>
    <w:p w14:paraId="5B03A7C6">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rPr>
        <w:t>6.在不影响飞行安全的前提下，</w:t>
      </w:r>
      <w:r>
        <w:rPr>
          <w:rFonts w:hint="eastAsia" w:ascii="仿宋" w:hAnsi="仿宋" w:eastAsia="仿宋" w:cs="仿宋"/>
          <w:color w:val="auto"/>
          <w:sz w:val="32"/>
          <w:szCs w:val="32"/>
          <w:lang w:val="en-US" w:eastAsia="zh-CN"/>
        </w:rPr>
        <w:t>任务相关人员</w:t>
      </w:r>
      <w:r>
        <w:rPr>
          <w:rFonts w:hint="eastAsia" w:ascii="仿宋" w:hAnsi="仿宋" w:eastAsia="仿宋" w:cs="仿宋"/>
          <w:color w:val="auto"/>
          <w:sz w:val="32"/>
          <w:szCs w:val="32"/>
        </w:rPr>
        <w:t>可利用对讲机或手机与地面联络通报飞行及信息。需要抵近目标观察时，</w:t>
      </w:r>
      <w:r>
        <w:rPr>
          <w:rFonts w:hint="eastAsia" w:ascii="仿宋" w:hAnsi="仿宋" w:eastAsia="仿宋" w:cs="仿宋"/>
          <w:color w:val="auto"/>
          <w:sz w:val="32"/>
          <w:szCs w:val="32"/>
          <w:lang w:val="en-US" w:eastAsia="zh-CN"/>
        </w:rPr>
        <w:t>乙方</w:t>
      </w:r>
      <w:r>
        <w:rPr>
          <w:rFonts w:hint="eastAsia" w:ascii="仿宋" w:hAnsi="仿宋" w:eastAsia="仿宋" w:cs="仿宋"/>
          <w:color w:val="auto"/>
          <w:sz w:val="32"/>
          <w:szCs w:val="32"/>
        </w:rPr>
        <w:t>机组在不影响飞行安全和空管规定的前提下，应按照</w:t>
      </w:r>
      <w:r>
        <w:rPr>
          <w:rFonts w:hint="eastAsia" w:ascii="仿宋" w:hAnsi="仿宋" w:eastAsia="仿宋" w:cs="仿宋"/>
          <w:color w:val="auto"/>
          <w:sz w:val="32"/>
          <w:szCs w:val="32"/>
          <w:lang w:val="en-US" w:eastAsia="zh-CN"/>
        </w:rPr>
        <w:t>甲方指挥人员</w:t>
      </w:r>
      <w:r>
        <w:rPr>
          <w:rFonts w:hint="eastAsia" w:ascii="仿宋" w:hAnsi="仿宋" w:eastAsia="仿宋" w:cs="仿宋"/>
          <w:color w:val="auto"/>
          <w:sz w:val="32"/>
          <w:szCs w:val="32"/>
        </w:rPr>
        <w:t>要求的航向和高度飞行。</w:t>
      </w:r>
    </w:p>
    <w:p w14:paraId="23F24F86">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7.执行任务期间，因乙方原因无法继续履行协议，甲方有权单方面提前解除协议。</w:t>
      </w:r>
    </w:p>
    <w:p w14:paraId="38AB312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黑体" w:hAnsi="黑体" w:eastAsia="黑体" w:cs="黑体"/>
          <w:color w:val="000000" w:themeColor="text1"/>
          <w:kern w:val="2"/>
          <w:sz w:val="32"/>
          <w:szCs w:val="32"/>
          <w:lang w:val="en-US" w:eastAsia="zh-CN" w:bidi="ar"/>
          <w14:textFill>
            <w14:solidFill>
              <w14:schemeClr w14:val="tx1"/>
            </w14:solidFill>
          </w14:textFill>
        </w:rPr>
      </w:pPr>
      <w:r>
        <w:rPr>
          <w:rFonts w:hint="eastAsia" w:ascii="黑体" w:hAnsi="黑体" w:eastAsia="黑体" w:cs="黑体"/>
          <w:color w:val="000000" w:themeColor="text1"/>
          <w:kern w:val="2"/>
          <w:sz w:val="32"/>
          <w:szCs w:val="32"/>
          <w:lang w:val="en-US" w:eastAsia="zh-CN" w:bidi="ar"/>
          <w14:textFill>
            <w14:solidFill>
              <w14:schemeClr w14:val="tx1"/>
            </w14:solidFill>
          </w14:textFill>
        </w:rPr>
        <w:t>八、免责条件和赔偿责任</w:t>
      </w:r>
    </w:p>
    <w:p w14:paraId="776E477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不可抗拒因素是指：战争、政府或军队干预、国家紧急征用、航空管制、自然灾害、天气、重大传染性疾病影响等。</w:t>
      </w:r>
    </w:p>
    <w:p w14:paraId="2E8064A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1.受不可抗拒因素影响，导致航期内乙方停飞，致使协议无法正常履行，不视为违约。</w:t>
      </w:r>
    </w:p>
    <w:p w14:paraId="773948E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2.受不可抗拒因素影响，甲、乙双方要互通情况，经双方协商，可以提前终止或延期履行合同。</w:t>
      </w:r>
    </w:p>
    <w:p w14:paraId="0A4512F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3.乙方飞机遇国际紧急征用时，乙方须第一时间告知甲方。</w:t>
      </w:r>
    </w:p>
    <w:p w14:paraId="2E31AF5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4.甲、乙双方在履行合同期间，地面发生意外事故造成双方人员伤亡或其他损失的，双方各自处理善后事宜，相互不负赔偿责任；若造成第三方人员伤亡或损失的，由事故责任方承担赔偿责任。</w:t>
      </w:r>
    </w:p>
    <w:p w14:paraId="15F3928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5.甲、乙双方在履行合同期间，空中发生意外事故造成双方人员伤亡或其他损失的，或造成第三方人员伤亡及其他损失的，乙方按投保金额承担甲方机上工作人员和第三方人员赔偿责任。</w:t>
      </w:r>
    </w:p>
    <w:p w14:paraId="2A35303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黑体" w:hAnsi="黑体" w:eastAsia="黑体" w:cs="黑体"/>
          <w:color w:val="000000" w:themeColor="text1"/>
          <w:kern w:val="2"/>
          <w:sz w:val="32"/>
          <w:szCs w:val="32"/>
          <w:lang w:val="en-US" w:eastAsia="zh-CN" w:bidi="ar"/>
          <w14:textFill>
            <w14:solidFill>
              <w14:schemeClr w14:val="tx1"/>
            </w14:solidFill>
          </w14:textFill>
        </w:rPr>
      </w:pPr>
      <w:r>
        <w:rPr>
          <w:rFonts w:hint="eastAsia" w:ascii="黑体" w:hAnsi="黑体" w:eastAsia="黑体" w:cs="黑体"/>
          <w:color w:val="000000" w:themeColor="text1"/>
          <w:kern w:val="2"/>
          <w:sz w:val="32"/>
          <w:szCs w:val="32"/>
          <w:lang w:val="en-US" w:eastAsia="zh-CN" w:bidi="ar"/>
          <w14:textFill>
            <w14:solidFill>
              <w14:schemeClr w14:val="tx1"/>
            </w14:solidFill>
          </w14:textFill>
        </w:rPr>
        <w:t>九、其他约定事项</w:t>
      </w:r>
    </w:p>
    <w:p w14:paraId="4E48ECA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1.甲方应加强飞行及监督检查，强化安全意识和部门协调。</w:t>
      </w:r>
    </w:p>
    <w:p w14:paraId="19010E8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2.抢险救灾是甲、乙双方的共同责任，双方应本着密切配合、互谅互让、互通情况、协调一致的原则，为圆满完成航空应急救援共同努力。</w:t>
      </w:r>
    </w:p>
    <w:p w14:paraId="507A7DB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黑体" w:hAnsi="黑体" w:eastAsia="黑体" w:cs="黑体"/>
          <w:color w:val="000000" w:themeColor="text1"/>
          <w:kern w:val="2"/>
          <w:sz w:val="32"/>
          <w:szCs w:val="32"/>
          <w:lang w:val="en-US" w:eastAsia="zh-CN" w:bidi="ar"/>
          <w14:textFill>
            <w14:solidFill>
              <w14:schemeClr w14:val="tx1"/>
            </w14:solidFill>
          </w14:textFill>
        </w:rPr>
      </w:pPr>
      <w:r>
        <w:rPr>
          <w:rFonts w:hint="eastAsia" w:ascii="黑体" w:hAnsi="黑体" w:eastAsia="黑体" w:cs="黑体"/>
          <w:color w:val="000000" w:themeColor="text1"/>
          <w:kern w:val="2"/>
          <w:sz w:val="32"/>
          <w:szCs w:val="32"/>
          <w:lang w:val="en-US" w:eastAsia="zh-CN" w:bidi="ar"/>
          <w14:textFill>
            <w14:solidFill>
              <w14:schemeClr w14:val="tx1"/>
            </w14:solidFill>
          </w14:textFill>
        </w:rPr>
        <w:t>十、解决争议的方法</w:t>
      </w:r>
    </w:p>
    <w:p w14:paraId="15BBE7B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凡因本合同引起的或与本合同有关的争议，双方应友好协商解决。协商不成时，双方均同意采用以下第（</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）种争议解决方式：</w:t>
      </w:r>
    </w:p>
    <w:p w14:paraId="7663CC50">
      <w:pPr>
        <w:keepNext w:val="0"/>
        <w:keepLines w:val="0"/>
        <w:pageBreakBefore w:val="0"/>
        <w:widowControl w:val="0"/>
        <w:numPr>
          <w:ilvl w:val="0"/>
          <w:numId w:val="1"/>
        </w:numPr>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甲、乙双方均同意向（甲方所在地人民法院）提起诉讼。</w:t>
      </w:r>
    </w:p>
    <w:p w14:paraId="59254534">
      <w:pPr>
        <w:keepNext w:val="0"/>
        <w:keepLines w:val="0"/>
        <w:pageBreakBefore w:val="0"/>
        <w:widowControl w:val="0"/>
        <w:numPr>
          <w:ilvl w:val="0"/>
          <w:numId w:val="1"/>
        </w:numPr>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甲、乙双方均同意向（</w:t>
      </w: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"http://www.baidu.com/s?wd=%E4%BB%B2%E8%A3%81%E5%A7%94%E5%91%98%E4%BC%9A&amp;tn=SE_PcZhidaonwhc_ngpagmjz&amp;rsv_dl=gh_pc_zhidao" \t "_blank"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color w:val="000000" w:themeColor="text1"/>
          <w:kern w:val="0"/>
          <w:sz w:val="32"/>
          <w:szCs w:val="32"/>
          <w14:textFill>
            <w14:solidFill>
              <w14:schemeClr w14:val="tx1"/>
            </w14:solidFill>
          </w14:textFill>
        </w:rPr>
        <w:t>仲裁委员会</w:t>
      </w:r>
      <w:r>
        <w:rPr>
          <w:rFonts w:hint="eastAsia" w:ascii="仿宋" w:hAnsi="仿宋" w:eastAsia="仿宋" w:cs="仿宋"/>
          <w:color w:val="000000" w:themeColor="text1"/>
          <w:kern w:val="0"/>
          <w:sz w:val="32"/>
          <w:szCs w:val="32"/>
          <w14:textFill>
            <w14:solidFill>
              <w14:schemeClr w14:val="tx1"/>
            </w14:solidFill>
          </w14:textFill>
        </w:rPr>
        <w:fldChar w:fldCharType="end"/>
      </w:r>
      <w:r>
        <w:rPr>
          <w:rFonts w:hint="eastAsia" w:ascii="仿宋" w:hAnsi="仿宋" w:eastAsia="仿宋" w:cs="仿宋"/>
          <w:color w:val="000000" w:themeColor="text1"/>
          <w:kern w:val="0"/>
          <w:sz w:val="32"/>
          <w:szCs w:val="32"/>
          <w14:textFill>
            <w14:solidFill>
              <w14:schemeClr w14:val="tx1"/>
            </w14:solidFill>
          </w14:textFill>
        </w:rPr>
        <w:t>）提起仲裁。</w:t>
      </w:r>
    </w:p>
    <w:p w14:paraId="0FFF871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黑体" w:hAnsi="黑体" w:eastAsia="黑体" w:cs="黑体"/>
          <w:color w:val="000000" w:themeColor="text1"/>
          <w:kern w:val="2"/>
          <w:sz w:val="32"/>
          <w:szCs w:val="32"/>
          <w:lang w:val="en-US" w:eastAsia="zh-CN" w:bidi="ar"/>
          <w14:textFill>
            <w14:solidFill>
              <w14:schemeClr w14:val="tx1"/>
            </w14:solidFill>
          </w14:textFill>
        </w:rPr>
      </w:pPr>
      <w:r>
        <w:rPr>
          <w:rFonts w:hint="eastAsia" w:ascii="黑体" w:hAnsi="黑体" w:eastAsia="黑体" w:cs="黑体"/>
          <w:color w:val="000000" w:themeColor="text1"/>
          <w:kern w:val="2"/>
          <w:sz w:val="32"/>
          <w:szCs w:val="32"/>
          <w:lang w:val="en-US" w:eastAsia="zh-CN" w:bidi="ar"/>
          <w14:textFill>
            <w14:solidFill>
              <w14:schemeClr w14:val="tx1"/>
            </w14:solidFill>
          </w14:textFill>
        </w:rPr>
        <w:t>十一、合同生效及其它</w:t>
      </w:r>
    </w:p>
    <w:p w14:paraId="1491A3C5">
      <w:pPr>
        <w:keepNext w:val="0"/>
        <w:keepLines w:val="0"/>
        <w:pageBreakBefore w:val="0"/>
        <w:widowControl w:val="0"/>
        <w:kinsoku/>
        <w:wordWrap/>
        <w:overflowPunct/>
        <w:topLinePunct w:val="0"/>
        <w:autoSpaceDE w:val="0"/>
        <w:autoSpaceDN w:val="0"/>
        <w:bidi w:val="0"/>
        <w:adjustRightInd/>
        <w:snapToGrid/>
        <w:spacing w:line="240" w:lineRule="auto"/>
        <w:ind w:right="-110" w:firstLine="640" w:firstLineChars="200"/>
        <w:jc w:val="both"/>
        <w:textAlignment w:val="bottom"/>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1.合同未尽事宜、由甲、乙双方协商，作为合同补充，与原合同具有同等法律效力。</w:t>
      </w:r>
    </w:p>
    <w:p w14:paraId="49A21EA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2.本合同正本一式陆份,</w:t>
      </w:r>
      <w:bookmarkStart w:id="43" w:name="_GoBack"/>
      <w:bookmarkEnd w:id="43"/>
      <w:r>
        <w:rPr>
          <w:rFonts w:hint="eastAsia" w:ascii="仿宋" w:hAnsi="仿宋" w:eastAsia="仿宋" w:cs="仿宋"/>
          <w:color w:val="000000" w:themeColor="text1"/>
          <w:kern w:val="2"/>
          <w:sz w:val="32"/>
          <w:szCs w:val="32"/>
          <w:lang w:val="en-US" w:eastAsia="zh-CN" w:bidi="ar"/>
          <w14:textFill>
            <w14:solidFill>
              <w14:schemeClr w14:val="tx1"/>
            </w14:solidFill>
          </w14:textFill>
        </w:rPr>
        <w:t>甲、乙双方分别执贰份，备案贰份。</w:t>
      </w:r>
    </w:p>
    <w:p w14:paraId="4FE0135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3.合同经甲乙双方盖章、签字后生效，合同签订地点为西安。</w:t>
      </w:r>
    </w:p>
    <w:p w14:paraId="5EF586C8">
      <w:p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br w:type="page"/>
      </w:r>
    </w:p>
    <w:p w14:paraId="36582CEB">
      <w:pPr>
        <w:keepNext w:val="0"/>
        <w:keepLines w:val="0"/>
        <w:pageBreakBefore w:val="0"/>
        <w:widowControl/>
        <w:kinsoku/>
        <w:wordWrap/>
        <w:overflowPunct/>
        <w:topLinePunct w:val="0"/>
        <w:autoSpaceDE w:val="0"/>
        <w:autoSpaceDN w:val="0"/>
        <w:bidi w:val="0"/>
        <w:adjustRightInd w:val="0"/>
        <w:snapToGrid w:val="0"/>
        <w:spacing w:line="600" w:lineRule="exact"/>
        <w:ind w:right="-110"/>
        <w:textAlignment w:val="bottom"/>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（以下为合同签订部分）</w:t>
      </w:r>
    </w:p>
    <w:p w14:paraId="3990E8C1">
      <w:pPr>
        <w:rPr>
          <w:rFonts w:hint="eastAsia"/>
          <w:color w:val="000000" w:themeColor="text1"/>
          <w:lang w:val="en-US" w:eastAsia="zh-CN"/>
          <w14:textFill>
            <w14:solidFill>
              <w14:schemeClr w14:val="tx1"/>
            </w14:solidFill>
          </w14:textFill>
        </w:rPr>
      </w:pPr>
    </w:p>
    <w:tbl>
      <w:tblPr>
        <w:tblStyle w:val="10"/>
        <w:tblW w:w="92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07"/>
        <w:gridCol w:w="4623"/>
      </w:tblGrid>
      <w:tr w14:paraId="001CF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1" w:hRule="atLeast"/>
          <w:jc w:val="center"/>
        </w:trPr>
        <w:tc>
          <w:tcPr>
            <w:tcW w:w="4607" w:type="dxa"/>
            <w:vAlign w:val="top"/>
          </w:tcPr>
          <w:p w14:paraId="0D17FB83">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甲方名称（盖章）：</w:t>
            </w:r>
          </w:p>
          <w:p w14:paraId="57B0C7D2">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p>
          <w:p w14:paraId="3A892566">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地址：</w:t>
            </w:r>
          </w:p>
          <w:p w14:paraId="4A327AB3">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p>
          <w:p w14:paraId="68EAFB99">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法定代表人/授权代表（签字）</w:t>
            </w:r>
            <w:r>
              <w:rPr>
                <w:rFonts w:hint="eastAsia" w:ascii="仿宋_GB2312" w:hAnsi="仿宋_GB2312" w:eastAsia="仿宋_GB2312" w:cs="仿宋_GB2312"/>
                <w:color w:val="000000" w:themeColor="text1"/>
                <w:kern w:val="0"/>
                <w:sz w:val="28"/>
                <w:szCs w:val="28"/>
                <w14:textFill>
                  <w14:solidFill>
                    <w14:schemeClr w14:val="tx1"/>
                  </w14:solidFill>
                </w14:textFill>
              </w:rPr>
              <w:t>：</w:t>
            </w:r>
          </w:p>
          <w:p w14:paraId="3A66C594">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p>
          <w:p w14:paraId="5550D035">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电话：</w:t>
            </w:r>
          </w:p>
          <w:p w14:paraId="0C7D4E6B">
            <w:pPr>
              <w:keepNext w:val="0"/>
              <w:keepLines w:val="0"/>
              <w:pageBreakBefore w:val="0"/>
              <w:widowControl/>
              <w:kinsoku/>
              <w:wordWrap/>
              <w:overflowPunct/>
              <w:topLinePunct w:val="0"/>
              <w:autoSpaceDE w:val="0"/>
              <w:autoSpaceDN w:val="0"/>
              <w:bidi w:val="0"/>
              <w:adjustRightInd/>
              <w:snapToGrid/>
              <w:spacing w:line="600" w:lineRule="exact"/>
              <w:ind w:right="0"/>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开户银行：</w:t>
            </w:r>
          </w:p>
          <w:p w14:paraId="50E473DF">
            <w:pPr>
              <w:keepNext w:val="0"/>
              <w:keepLines w:val="0"/>
              <w:pageBreakBefore w:val="0"/>
              <w:widowControl/>
              <w:kinsoku/>
              <w:wordWrap/>
              <w:overflowPunct/>
              <w:topLinePunct w:val="0"/>
              <w:autoSpaceDE w:val="0"/>
              <w:autoSpaceDN w:val="0"/>
              <w:bidi w:val="0"/>
              <w:adjustRightInd w:val="0"/>
              <w:snapToGrid w:val="0"/>
              <w:spacing w:line="600" w:lineRule="exact"/>
              <w:ind w:right="-153" w:rightChars="0"/>
              <w:textAlignment w:val="bottom"/>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账号：</w:t>
            </w:r>
          </w:p>
        </w:tc>
        <w:tc>
          <w:tcPr>
            <w:tcW w:w="4623" w:type="dxa"/>
            <w:vAlign w:val="top"/>
          </w:tcPr>
          <w:p w14:paraId="123C2060">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乙方名称（盖章）：</w:t>
            </w:r>
          </w:p>
          <w:p w14:paraId="71FB2A34">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p>
          <w:p w14:paraId="1766DE0F">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地址：</w:t>
            </w:r>
          </w:p>
          <w:p w14:paraId="21AE02DF">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p>
          <w:p w14:paraId="41088CAD">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法定代表人/授权代表（签字）</w:t>
            </w:r>
            <w:r>
              <w:rPr>
                <w:rFonts w:hint="eastAsia" w:ascii="仿宋_GB2312" w:hAnsi="仿宋_GB2312" w:eastAsia="仿宋_GB2312" w:cs="仿宋_GB2312"/>
                <w:color w:val="000000" w:themeColor="text1"/>
                <w:kern w:val="0"/>
                <w:sz w:val="28"/>
                <w:szCs w:val="28"/>
                <w14:textFill>
                  <w14:solidFill>
                    <w14:schemeClr w14:val="tx1"/>
                  </w14:solidFill>
                </w14:textFill>
              </w:rPr>
              <w:t>：</w:t>
            </w:r>
          </w:p>
          <w:p w14:paraId="29D4D8E4">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p>
          <w:p w14:paraId="217DDB28">
            <w:pPr>
              <w:keepNext w:val="0"/>
              <w:keepLines w:val="0"/>
              <w:pageBreakBefore w:val="0"/>
              <w:widowControl/>
              <w:kinsoku/>
              <w:wordWrap/>
              <w:overflowPunct/>
              <w:topLinePunct w:val="0"/>
              <w:autoSpaceDE w:val="0"/>
              <w:autoSpaceDN w:val="0"/>
              <w:bidi w:val="0"/>
              <w:adjustRightInd w:val="0"/>
              <w:snapToGrid w:val="0"/>
              <w:spacing w:line="600" w:lineRule="exact"/>
              <w:ind w:right="-153"/>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电话：</w:t>
            </w:r>
          </w:p>
          <w:p w14:paraId="091120DA">
            <w:pPr>
              <w:keepNext w:val="0"/>
              <w:keepLines w:val="0"/>
              <w:pageBreakBefore w:val="0"/>
              <w:widowControl/>
              <w:kinsoku/>
              <w:wordWrap/>
              <w:overflowPunct/>
              <w:topLinePunct w:val="0"/>
              <w:autoSpaceDE w:val="0"/>
              <w:autoSpaceDN w:val="0"/>
              <w:bidi w:val="0"/>
              <w:adjustRightInd/>
              <w:snapToGrid/>
              <w:spacing w:line="600" w:lineRule="exact"/>
              <w:ind w:left="0" w:right="0" w:hanging="1200" w:hangingChars="500"/>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开户银行：</w:t>
            </w:r>
          </w:p>
          <w:p w14:paraId="6A311842">
            <w:pPr>
              <w:keepNext w:val="0"/>
              <w:keepLines w:val="0"/>
              <w:pageBreakBefore w:val="0"/>
              <w:widowControl/>
              <w:kinsoku/>
              <w:wordWrap/>
              <w:overflowPunct/>
              <w:topLinePunct w:val="0"/>
              <w:autoSpaceDE w:val="0"/>
              <w:autoSpaceDN w:val="0"/>
              <w:bidi w:val="0"/>
              <w:adjustRightInd/>
              <w:snapToGrid/>
              <w:spacing w:line="600" w:lineRule="exact"/>
              <w:ind w:left="0" w:right="0" w:hanging="1200" w:hangingChars="500"/>
              <w:textAlignment w:val="bottom"/>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p>
          <w:p w14:paraId="27C9058B">
            <w:pPr>
              <w:keepNext w:val="0"/>
              <w:keepLines w:val="0"/>
              <w:pageBreakBefore w:val="0"/>
              <w:widowControl/>
              <w:kinsoku/>
              <w:wordWrap/>
              <w:overflowPunct/>
              <w:topLinePunct w:val="0"/>
              <w:autoSpaceDE w:val="0"/>
              <w:autoSpaceDN w:val="0"/>
              <w:bidi w:val="0"/>
              <w:adjustRightInd/>
              <w:snapToGrid/>
              <w:spacing w:line="600" w:lineRule="exact"/>
              <w:ind w:left="0" w:right="0" w:hanging="1200" w:hangingChars="500"/>
              <w:textAlignment w:val="bottom"/>
              <w:rPr>
                <w:rFonts w:hint="eastAsia" w:ascii="仿宋_GB2312" w:hAnsi="仿宋_GB2312" w:eastAsia="仿宋_GB2312" w:cs="仿宋_GB2312"/>
                <w:color w:val="000000" w:themeColor="text1"/>
                <w:kern w:val="0"/>
                <w:sz w:val="28"/>
                <w:szCs w:val="28"/>
                <w:lang w:val="en-US"/>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帐号：</w:t>
            </w:r>
          </w:p>
        </w:tc>
      </w:tr>
      <w:tr w14:paraId="07D2C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4607" w:type="dxa"/>
            <w:vAlign w:val="top"/>
          </w:tcPr>
          <w:p w14:paraId="6C24EDB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签约日期：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年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月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日 </w:t>
            </w:r>
          </w:p>
        </w:tc>
        <w:tc>
          <w:tcPr>
            <w:tcW w:w="4623" w:type="dxa"/>
            <w:vAlign w:val="top"/>
          </w:tcPr>
          <w:p w14:paraId="76F9249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签约日期：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年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月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日</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tbl>
    <w:p w14:paraId="5FD791E3">
      <w:pPr>
        <w:rPr>
          <w:color w:val="000000" w:themeColor="text1"/>
          <w14:textFill>
            <w14:solidFill>
              <w14:schemeClr w14:val="tx1"/>
            </w14:solidFill>
          </w14:textFill>
        </w:rPr>
      </w:pPr>
    </w:p>
    <w:sectPr>
      <w:footerReference r:id="rId3" w:type="default"/>
      <w:pgSz w:w="11906" w:h="16838"/>
      <w:pgMar w:top="1440" w:right="1800" w:bottom="1440" w:left="1800" w:header="851" w:footer="964"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9DFB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76C03">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376C03">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7184BE"/>
    <w:multiLevelType w:val="singleLevel"/>
    <w:tmpl w:val="E57184B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jNDI3NmI1MWVlODAxNmNiZjlhMjg0NDExNzJkYmIifQ=="/>
  </w:docVars>
  <w:rsids>
    <w:rsidRoot w:val="00000000"/>
    <w:rsid w:val="08601F68"/>
    <w:rsid w:val="0A835DAB"/>
    <w:rsid w:val="0B233B62"/>
    <w:rsid w:val="0BD23DE9"/>
    <w:rsid w:val="17BB57FB"/>
    <w:rsid w:val="1EA40113"/>
    <w:rsid w:val="22870382"/>
    <w:rsid w:val="2CC60494"/>
    <w:rsid w:val="2DED47E8"/>
    <w:rsid w:val="2FF35332"/>
    <w:rsid w:val="3E7027FD"/>
    <w:rsid w:val="4F7E1BFB"/>
    <w:rsid w:val="58E81B77"/>
    <w:rsid w:val="65A9584D"/>
    <w:rsid w:val="6BAC7F32"/>
    <w:rsid w:val="7140085D"/>
    <w:rsid w:val="78662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2"/>
    <w:qFormat/>
    <w:uiPriority w:val="99"/>
    <w:pPr>
      <w:keepNext/>
      <w:widowControl w:val="0"/>
      <w:jc w:val="center"/>
      <w:outlineLvl w:val="0"/>
    </w:pPr>
    <w:rPr>
      <w:rFonts w:ascii="黑体" w:eastAsia="黑体"/>
      <w:sz w:val="28"/>
    </w:rPr>
  </w:style>
  <w:style w:type="paragraph" w:styleId="2">
    <w:name w:val="heading 4"/>
    <w:basedOn w:val="1"/>
    <w:next w:val="1"/>
    <w:qFormat/>
    <w:uiPriority w:val="9"/>
    <w:pPr>
      <w:keepNext/>
      <w:keepLines/>
      <w:spacing w:before="280" w:after="290" w:line="376" w:lineRule="auto"/>
      <w:outlineLvl w:val="3"/>
    </w:pPr>
    <w:rPr>
      <w:rFonts w:ascii="Calibri Light" w:hAnsi="Calibri Light" w:eastAsia="宋体" w:cs="宋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jc w:val="left"/>
    </w:pPr>
    <w:rPr>
      <w:rFonts w:ascii="Copperplate Gothic Bold" w:hAnsi="Copperplate Gothic Bold"/>
      <w:kern w:val="0"/>
      <w:sz w:val="20"/>
      <w:szCs w:val="20"/>
    </w:rPr>
  </w:style>
  <w:style w:type="paragraph" w:styleId="5">
    <w:name w:val="Block Text"/>
    <w:basedOn w:val="1"/>
    <w:unhideWhenUsed/>
    <w:qFormat/>
    <w:uiPriority w:val="99"/>
    <w:pPr>
      <w:spacing w:line="360" w:lineRule="auto"/>
      <w:ind w:left="-420" w:leftChars="-200" w:right="210" w:rightChars="100" w:firstLine="480" w:firstLineChars="200"/>
    </w:pPr>
    <w:rPr>
      <w:rFonts w:ascii="宋体" w:hAnsi="宋体"/>
      <w:sz w:val="24"/>
    </w:rPr>
  </w:style>
  <w:style w:type="paragraph" w:styleId="6">
    <w:name w:val="Body Text Indent 2"/>
    <w:basedOn w:val="1"/>
    <w:qFormat/>
    <w:uiPriority w:val="0"/>
    <w:pPr>
      <w:spacing w:after="120" w:line="480" w:lineRule="auto"/>
      <w:ind w:left="420" w:leftChars="200"/>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39"/>
  </w:style>
  <w:style w:type="character" w:customStyle="1" w:styleId="12">
    <w:name w:val="标题 1 Char"/>
    <w:link w:val="3"/>
    <w:qFormat/>
    <w:uiPriority w:val="99"/>
    <w:rPr>
      <w:rFonts w:ascii="黑体" w:eastAsia="黑体"/>
      <w:sz w:val="2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2756</Words>
  <Characters>2817</Characters>
  <Lines>0</Lines>
  <Paragraphs>0</Paragraphs>
  <TotalTime>0</TotalTime>
  <ScaleCrop>false</ScaleCrop>
  <LinksUpToDate>false</LinksUpToDate>
  <CharactersWithSpaces>2892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2023-11-08T10:40:00Z</dcterms:created>
  <dc:creator>Administrator</dc:creator>
  <cp:lastModifiedBy>新昱</cp:lastModifiedBy>
  <dcterms:modified xsi:type="dcterms:W3CDTF">2026-07-20T07:49:51Z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547ABD05D2BC4ED2815355FF96103736_13</vt:lpwstr>
  </property>
  <property fmtid="{D5CDD505-2E9C-101B-9397-08002B2CF9AE}" pid="4" name="KSOTemplateDocerSaveRecord">
    <vt:lpwstr>eyJoZGlkIjoiYjNjNTkyNDJjNWFiYWRmMjRlNGYzNzgwOGFjNTE0OGUiLCJ1c2VySWQiOiI1MDU3ODU5ODQifQ==</vt:lpwstr>
  </property>
</Properties>
</file>