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版本号：THJT2026ZC-02120260812001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西乡县城南街道办五渠至厂湾道路</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THJT2026ZC-021</w:t>
      </w:r>
      <w:r>
        <w:br/>
      </w:r>
      <w:r>
        <w:br/>
      </w:r>
      <w:r>
        <w:br/>
      </w:r>
    </w:p>
    <w:p>
      <w:pPr>
        <w:pStyle w:val="null3"/>
        <w:jc w:val="center"/>
        <w:outlineLvl w:val="2"/>
      </w:pPr>
      <w:r>
        <w:rPr>
          <w:rFonts w:ascii="仿宋_GB2312" w:hAnsi="仿宋_GB2312" w:cs="仿宋_GB2312" w:eastAsia="仿宋_GB2312"/>
          <w:sz w:val="28"/>
          <w:b/>
        </w:rPr>
        <w:t>西乡县城南街道办事处</w:t>
      </w:r>
    </w:p>
    <w:p>
      <w:pPr>
        <w:pStyle w:val="null3"/>
        <w:jc w:val="center"/>
        <w:outlineLvl w:val="2"/>
      </w:pPr>
      <w:r>
        <w:rPr>
          <w:rFonts w:ascii="仿宋_GB2312" w:hAnsi="仿宋_GB2312" w:cs="仿宋_GB2312" w:eastAsia="仿宋_GB2312"/>
          <w:sz w:val="28"/>
          <w:b/>
        </w:rPr>
        <w:t>陕西天恒金泰项目管理有限公司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陕西天恒金泰项目管理有限公司</w:t>
      </w:r>
      <w:r>
        <w:rPr>
          <w:rFonts w:ascii="仿宋_GB2312" w:hAnsi="仿宋_GB2312" w:cs="仿宋_GB2312" w:eastAsia="仿宋_GB2312"/>
        </w:rPr>
        <w:t>（以下简称“代理机构”）受</w:t>
      </w:r>
      <w:r>
        <w:rPr>
          <w:rFonts w:ascii="仿宋_GB2312" w:hAnsi="仿宋_GB2312" w:cs="仿宋_GB2312" w:eastAsia="仿宋_GB2312"/>
        </w:rPr>
        <w:t>西乡县城南街道办事处</w:t>
      </w:r>
      <w:r>
        <w:rPr>
          <w:rFonts w:ascii="仿宋_GB2312" w:hAnsi="仿宋_GB2312" w:cs="仿宋_GB2312" w:eastAsia="仿宋_GB2312"/>
        </w:rPr>
        <w:t>委托，拟对</w:t>
      </w:r>
      <w:r>
        <w:rPr>
          <w:rFonts w:ascii="仿宋_GB2312" w:hAnsi="仿宋_GB2312" w:cs="仿宋_GB2312" w:eastAsia="仿宋_GB2312"/>
        </w:rPr>
        <w:t>西乡县城南街道办五渠至厂湾道路</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THJT2026ZC-021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西乡县城南街道办五渠至厂湾道路</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西乡县城南街道办五渠至厂湾道路，道路全长0.235km，路面宽度4.5m，主要建设内容为：18cm厚C30水泥混凝土面层222.75m³，钢筋39.9kg、路肩培土42.3m³。（具体内容详见施工图纸及工程量清单）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采购包1（西乡县城南街道办五渠至厂湾道路）：属于专门面向中小企业采购。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2、法定代表人身份证明或授权委托书：法定代表人或负责人直接参与磋商时需提供身份证明书及身份证复印件加盖公章 ；被授权人参与磋商时需提供法定代表人或负责人授权委托书（附法定代表人或负责人及被授权人身份证复印件并加盖公章）；</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w:t>
      </w:r>
    </w:p>
    <w:p>
      <w:pPr>
        <w:pStyle w:val="null3"/>
      </w:pPr>
      <w:r>
        <w:rPr>
          <w:rFonts w:ascii="仿宋_GB2312" w:hAnsi="仿宋_GB2312" w:cs="仿宋_GB2312" w:eastAsia="仿宋_GB2312"/>
        </w:rPr>
        <w:t>4、供应商资质：供应商须具备建设行政主管部门核发的公路工程施工总承包三级（含三级）及以上资质，并具有建设行政主管部门颁发的安全生产许可证；</w:t>
      </w:r>
    </w:p>
    <w:p>
      <w:pPr>
        <w:pStyle w:val="null3"/>
      </w:pPr>
      <w:r>
        <w:rPr>
          <w:rFonts w:ascii="仿宋_GB2312" w:hAnsi="仿宋_GB2312" w:cs="仿宋_GB2312" w:eastAsia="仿宋_GB2312"/>
        </w:rPr>
        <w:t>5、项目经理资格：项目经理须具有公路工程专业二级及以上注册建造师执业资格，具有有效的安全生产考核合格证且无在建工程（提供无在建承诺书）；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西乡县葛石社区工业园区内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0916-6216696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陕西天恒金泰项目管理有限公司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陕西省汉中市汉台区太白路252号百嘉汇广场B 座14楼0201室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0916-8836688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代理服务费收费标准：本项目代理费按照3000元计取。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西乡县城南街道办事处</w:t>
      </w:r>
      <w:r>
        <w:rPr>
          <w:rFonts w:ascii="仿宋_GB2312" w:hAnsi="仿宋_GB2312" w:cs="仿宋_GB2312" w:eastAsia="仿宋_GB2312"/>
        </w:rPr>
        <w:t>和</w:t>
      </w:r>
      <w:r>
        <w:rPr>
          <w:rFonts w:ascii="仿宋_GB2312" w:hAnsi="仿宋_GB2312" w:cs="仿宋_GB2312" w:eastAsia="仿宋_GB2312"/>
        </w:rPr>
        <w:t>陕西天恒金泰项目管理有限公司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陕西天恒金泰项目管理有限公司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陕西天恒金泰项目管理有限公司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依据合同约定及国家和行业现行标准和技术规范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联系人：邓攀</w:t>
      </w:r>
    </w:p>
    <w:p>
      <w:pPr>
        <w:pStyle w:val="null3"/>
      </w:pPr>
      <w:r>
        <w:rPr>
          <w:rFonts w:ascii="仿宋_GB2312" w:hAnsi="仿宋_GB2312" w:cs="仿宋_GB2312" w:eastAsia="仿宋_GB2312"/>
        </w:rPr>
        <w:t>联系电话：0916-8836688</w:t>
      </w:r>
    </w:p>
    <w:p>
      <w:pPr>
        <w:pStyle w:val="null3"/>
      </w:pPr>
      <w:r>
        <w:rPr>
          <w:rFonts w:ascii="仿宋_GB2312" w:hAnsi="仿宋_GB2312" w:cs="仿宋_GB2312" w:eastAsia="仿宋_GB2312"/>
        </w:rPr>
        <w:t>地址：汉中市汉台区太⽩路百嘉汇⼴场B 座14楼0201室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109,978.20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西乡县城南街道办五渠至厂湾道路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标的名称：西乡县城南街道办五渠至厂湾道路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1、工程概况：西乡县城南街道办五渠至厂湾道路，主要工程内容包含：18cm厚C30水泥混凝土面层222.75m³、钢筋39.9kg、路肩培土42.3m³（具体内容详见本项目施工图纸及工程量清单）。</w:t>
            </w:r>
          </w:p>
          <w:p>
            <w:pPr>
              <w:pStyle w:val="null3"/>
              <w:jc w:val="left"/>
            </w:pPr>
            <w:r>
              <w:rPr>
                <w:rFonts w:ascii="仿宋_GB2312" w:hAnsi="仿宋_GB2312" w:cs="仿宋_GB2312" w:eastAsia="仿宋_GB2312"/>
                <w:sz w:val="24"/>
              </w:rPr>
              <w:t>2、施工范围：本项目施工图纸及工程量清单范围内全部工程内容。</w:t>
            </w:r>
          </w:p>
          <w:p>
            <w:pPr>
              <w:pStyle w:val="null3"/>
              <w:jc w:val="left"/>
            </w:pPr>
            <w:r>
              <w:rPr>
                <w:rFonts w:ascii="仿宋_GB2312" w:hAnsi="仿宋_GB2312" w:cs="仿宋_GB2312" w:eastAsia="仿宋_GB2312"/>
                <w:sz w:val="24"/>
              </w:rPr>
              <w:t>3、工</w:t>
            </w:r>
            <w:r>
              <w:rPr>
                <w:rFonts w:ascii="仿宋_GB2312" w:hAnsi="仿宋_GB2312" w:cs="仿宋_GB2312" w:eastAsia="仿宋_GB2312"/>
                <w:sz w:val="24"/>
              </w:rPr>
              <w:t>期：自合同签订之日30日历天。</w:t>
            </w:r>
          </w:p>
          <w:p>
            <w:pPr>
              <w:pStyle w:val="null3"/>
              <w:jc w:val="left"/>
            </w:pPr>
            <w:r>
              <w:rPr>
                <w:rFonts w:ascii="仿宋_GB2312" w:hAnsi="仿宋_GB2312" w:cs="仿宋_GB2312" w:eastAsia="仿宋_GB2312"/>
                <w:sz w:val="24"/>
              </w:rPr>
              <w:t>4、工程质量要求：交工验收的质量评定：合格；竣工验收的质量评定：合格。</w:t>
            </w:r>
          </w:p>
          <w:p>
            <w:pPr>
              <w:pStyle w:val="null3"/>
              <w:jc w:val="left"/>
            </w:pPr>
            <w:r>
              <w:rPr>
                <w:rFonts w:ascii="仿宋_GB2312" w:hAnsi="仿宋_GB2312" w:cs="仿宋_GB2312" w:eastAsia="仿宋_GB2312"/>
                <w:sz w:val="24"/>
              </w:rPr>
              <w:t>5、安全目标：无安全责任事故发生。</w:t>
            </w:r>
          </w:p>
          <w:p>
            <w:pPr>
              <w:pStyle w:val="null3"/>
              <w:jc w:val="left"/>
            </w:pPr>
            <w:r>
              <w:rPr>
                <w:rFonts w:ascii="仿宋_GB2312" w:hAnsi="仿宋_GB2312" w:cs="仿宋_GB2312" w:eastAsia="仿宋_GB2312"/>
                <w:sz w:val="24"/>
              </w:rPr>
              <w:t>6、缺陷责任期：2年（自工程交工验收合格之日起算）。</w:t>
            </w:r>
          </w:p>
          <w:p>
            <w:pPr>
              <w:pStyle w:val="null3"/>
            </w:pPr>
            <w:r>
              <w:rPr>
                <w:rFonts w:ascii="仿宋_GB2312" w:hAnsi="仿宋_GB2312" w:cs="仿宋_GB2312" w:eastAsia="仿宋_GB2312"/>
                <w:sz w:val="24"/>
              </w:rPr>
              <w:t>7、其他要求：满足竞争性磋商文件要求。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本工程施工及验收严格执行国家、交通运输部现行相关技术标准和规范，工程质量达到合格要求。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为顺利推进政府采购电子化交易平台应用工作，供应商务必在开标截止时间前30分钟内，通过项目电子化交易系统进行签到，如供应商未在规定的时间内完成签到，按无效响应处理。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法定代表人或负责人直接参与磋商时需提供身份证明书及身份证复印件加盖公章 ；被授权人参与磋商时需提供法定代表人或负责人授权委托书（附法定代表人或负责人及被授权人身份证复印件并加盖公章）；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供应商须具备建设行政主管部门核发的公路工程施工总承包三级（含三级）及以上资质，并具有建设行政主管部门颁发的安全生产许可证；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项目经理须具有公路工程专业二级及以上注册建造师执业资格，具有有效的安全生产考核合格证且无在建工程（提供无在建承诺书）；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施工组织设计 供应商类似业绩 中小企业声明函 技术服务合同条款及其他商务要求应答表 供应商应提交的相关资格证明材料 响应文件封面 残疾人福利性单位声明函 报价函 标的清单 响应函 监狱企业的证明文件 项目管理机构及人员简历表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供应商近3年（2023年1月至今）承担过公路工程施工业绩每个业绩得2.5分，本项最高得5分。 业绩材料：提供中标（成交）通知书及合同复印件加盖公章，时间以合同签订时间为准（合同须体现合同金额、合同内容、签字盖章页、合同签订日期）。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项目经理具有公路工程相关中级及以上职称的得3分，初级职称或无职称不得分。 注：需提供人员证件，社保证明，未提供不得分。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项目管理机构及人员简历表</w:t>
            </w:r>
          </w:p>
        </w:tc>
      </w:tr>
      <w:tr>
        <w:tc>
          <w:tcPr>
            <w:tcW w:type="dxa" w:w="831"/>
            <w:vMerge/>
          </w:tcPr>
          <w:p/>
        </w:tc>
        <w:tc>
          <w:tcPr>
            <w:tcW w:type="dxa" w:w="1661"/>
          </w:tcPr>
          <w:p>
            <w:pPr>
              <w:pStyle w:val="null3"/>
            </w:pPr>
            <w:r>
              <w:rPr>
                <w:rFonts w:ascii="仿宋_GB2312" w:hAnsi="仿宋_GB2312" w:cs="仿宋_GB2312" w:eastAsia="仿宋_GB2312"/>
              </w:rPr>
              <w:t>项目总工职称</w:t>
            </w:r>
          </w:p>
        </w:tc>
        <w:tc>
          <w:tcPr>
            <w:tcW w:type="dxa" w:w="2492"/>
          </w:tcPr>
          <w:p>
            <w:pPr>
              <w:pStyle w:val="null3"/>
            </w:pPr>
            <w:r>
              <w:rPr>
                <w:rFonts w:ascii="仿宋_GB2312" w:hAnsi="仿宋_GB2312" w:cs="仿宋_GB2312" w:eastAsia="仿宋_GB2312"/>
              </w:rPr>
              <w:t>项目总工具有公路工程相关中级及以上职称的得3分，初级职称或无职称不得分。 注：需提供人员证件，社保证明，未提供不得分。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项目管理机构及人员简历表</w:t>
            </w:r>
          </w:p>
        </w:tc>
      </w:tr>
      <w:tr>
        <w:tc>
          <w:tcPr>
            <w:tcW w:type="dxa" w:w="831"/>
            <w:vMerge/>
          </w:tcPr>
          <w:p/>
        </w:tc>
        <w:tc>
          <w:tcPr>
            <w:tcW w:type="dxa" w:w="1661"/>
          </w:tcPr>
          <w:p>
            <w:pPr>
              <w:pStyle w:val="null3"/>
            </w:pPr>
            <w:r>
              <w:rPr>
                <w:rFonts w:ascii="仿宋_GB2312" w:hAnsi="仿宋_GB2312" w:cs="仿宋_GB2312" w:eastAsia="仿宋_GB2312"/>
              </w:rPr>
              <w:t>项目部其他主要人员</w:t>
            </w:r>
          </w:p>
        </w:tc>
        <w:tc>
          <w:tcPr>
            <w:tcW w:type="dxa" w:w="2492"/>
          </w:tcPr>
          <w:p>
            <w:pPr>
              <w:pStyle w:val="null3"/>
            </w:pPr>
            <w:r>
              <w:rPr>
                <w:rFonts w:ascii="仿宋_GB2312" w:hAnsi="仿宋_GB2312" w:cs="仿宋_GB2312" w:eastAsia="仿宋_GB2312"/>
              </w:rPr>
              <w:t>供应商针对本项目提供的团队人员科学合理，职责明确。拟派项目管理机构同时配备以下人员得此项满分9分，每缺一人扣3分，扣完为止：专职安全员（交安C证）、道路工程师（公路工程相关专业职称证）、质量员（岗位证）。注：需提供人员证件，社保证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项目管理机构及人员简历表</w:t>
            </w:r>
          </w:p>
        </w:tc>
      </w:tr>
      <w:tr>
        <w:tc>
          <w:tcPr>
            <w:tcW w:type="dxa" w:w="831"/>
            <w:vMerge/>
          </w:tcP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根据供应商针对本项目施工内容制定的方案（包括①项目概述②项目总平面布置③施工方法④重点难点分析）进行综合评审。 总体施工方案内容全面详细、步骤清晰、科学合理、贴合本项目实际，全部满足采购需求得12分。每缺失一项内容扣3分，每项内容存在1处不完善或瑕疵，扣1分，扣完即止。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根据供应商针对本项目提供的工期保证措施（包括①工期目标②施工工期进度安排③工期保障措施）进行综合评审。 措施内容全面详细、步骤清晰、科学合理、贴合本项目实际，全部满足采购需求得9分。每缺失一项内容扣3分，每项内容存在1处不完善或瑕疵，扣1分，扣完即止。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根据供应商针对本项目制定工程质量保证措施（包括①工程质量目标②工程质量保证措施③施工质量管理与控制方案）进行综合评审。 措施内容全面详细、步骤清晰、科学合理、贴合本项目实际，全部满足采购需求得9分。每缺失一项内容扣3分，每项内容存在1处不完善或瑕疵，扣1分，扣完即止。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根据供应商针对本项目制定安全施工措施（包括①安全施工管理制度②安全施工管理措施）进行综合评审。 措施内容全面详细、步骤清晰、科学合理、贴合本项目实际，全部满足采购需求得6分。每缺失一项内容扣3分，每项内容存在1处不完善或瑕疵，扣1分，扣完即止。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根据供应商针对本项目制定文明施工措施（包括①文明施工管理制度②文明施工管理措施）进行综合评审。 措施内容全面详细、步骤清晰、科学合理、贴合本项目实际，全部满足采购需求得6分。每缺失一项内容扣3分，每项内容存在1处不完善或瑕疵，扣1分，扣完即止。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风险预测及应急保障措施</w:t>
            </w:r>
          </w:p>
        </w:tc>
        <w:tc>
          <w:tcPr>
            <w:tcW w:type="dxa" w:w="2492"/>
          </w:tcPr>
          <w:p>
            <w:pPr>
              <w:pStyle w:val="null3"/>
            </w:pPr>
            <w:r>
              <w:rPr>
                <w:rFonts w:ascii="仿宋_GB2312" w:hAnsi="仿宋_GB2312" w:cs="仿宋_GB2312" w:eastAsia="仿宋_GB2312"/>
              </w:rPr>
              <w:t>根据供应商针对本项目制定应急预案措施（包括①项目风险预测与防范②自然灾害应急措施③安全事故应急措施）进行评审。 方案内容全面详细、步骤清晰合理、贴合本项目实际，全部满足采购需求得6分。每缺失一项内容扣2分，每项内容存在1处不完善或瑕疵，扣0.5分，扣完即止。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保畅服务承诺</w:t>
            </w:r>
          </w:p>
        </w:tc>
        <w:tc>
          <w:tcPr>
            <w:tcW w:type="dxa" w:w="2492"/>
          </w:tcPr>
          <w:p>
            <w:pPr>
              <w:pStyle w:val="null3"/>
            </w:pPr>
            <w:r>
              <w:rPr>
                <w:rFonts w:ascii="仿宋_GB2312" w:hAnsi="仿宋_GB2312" w:cs="仿宋_GB2312" w:eastAsia="仿宋_GB2312"/>
              </w:rPr>
              <w:t>供应商制定施工期间的保畅服务方案，包括：①交通疏导方案②村民通行保障方案。 承诺内容全面详细、步骤清晰、科学合理、贴合本项目实际，全部满足采购需求得2分。每缺失一项内容扣1分，每项内容存在1处不完善或瑕疵，扣0.5分，扣完即止。 备注：瑕疵”指内容明显错误或内容表述前后矛盾或内容不完整或表达简单笼统或缺少关键点或不适用本项目特性，套用其他项目内容或内容不能满足本项目实际需求等任意一种情形。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采用低价优先法计算，即满足磋商文件要求且价格最低的磋商报价为磋商基准价，其价格分为满分； 磋商报价得分=（磋商基准价/最终磋商报价）×30； 注：磋商小组认为供应商的报价明显低于其他通过符合性审查供应商的报价，有可能影响服务质量或者不能诚信履约的，应当要求其在磋商现场合理的时间内提供书面说明，必要时提交相关证明材料；供应商不能证明其报价合理性的，磋商小组应当将其作为废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详见附件：供应商类似业绩</w:t>
      </w:r>
    </w:p>
    <w:p>
      <w:pPr>
        <w:pStyle w:val="null3"/>
        <w:ind w:firstLine="960"/>
      </w:pPr>
      <w:r>
        <w:rPr>
          <w:rFonts w:ascii="仿宋_GB2312" w:hAnsi="仿宋_GB2312" w:cs="仿宋_GB2312" w:eastAsia="仿宋_GB2312"/>
        </w:rPr>
        <w:t>详见附件：项目管理机构及人员简历表</w:t>
      </w:r>
    </w:p>
    <w:p>
      <w:pPr>
        <w:pStyle w:val="null3"/>
        <w:ind w:firstLine="960"/>
      </w:pPr>
      <w:r>
        <w:rPr>
          <w:rFonts w:ascii="仿宋_GB2312" w:hAnsi="仿宋_GB2312" w:cs="仿宋_GB2312" w:eastAsia="仿宋_GB2312"/>
        </w:rPr>
        <w:t>详见附件：施工组织设计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