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版本号：GXHC-202614.1B120260625001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商州区人民法院基层人民法庭庭审业务装备服务项目(二次)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GXHC-202614.1B1</w:t>
      </w:r>
      <w:r>
        <w:br/>
      </w:r>
      <w:r>
        <w:br/>
      </w:r>
      <w:r>
        <w:br/>
      </w:r>
    </w:p>
    <w:p>
      <w:pPr>
        <w:pStyle w:val="null3"/>
        <w:jc w:val="center"/>
        <w:outlineLvl w:val="2"/>
      </w:pPr>
      <w:r>
        <w:rPr>
          <w:rFonts w:ascii="仿宋_GB2312" w:hAnsi="仿宋_GB2312" w:cs="仿宋_GB2312" w:eastAsia="仿宋_GB2312"/>
          <w:sz w:val="28"/>
          <w:b/>
        </w:rPr>
        <w:t>商洛市商州区人民法院</w:t>
      </w:r>
    </w:p>
    <w:p>
      <w:pPr>
        <w:pStyle w:val="null3"/>
        <w:jc w:val="center"/>
        <w:outlineLvl w:val="2"/>
      </w:pPr>
      <w:r>
        <w:rPr>
          <w:rFonts w:ascii="仿宋_GB2312" w:hAnsi="仿宋_GB2312" w:cs="仿宋_GB2312" w:eastAsia="仿宋_GB2312"/>
          <w:sz w:val="28"/>
          <w:b/>
        </w:rPr>
        <w:t>陕西国信恒创工程咨询有限公司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陕西国信恒创工程咨询有限公司</w:t>
      </w:r>
      <w:r>
        <w:rPr>
          <w:rFonts w:ascii="仿宋_GB2312" w:hAnsi="仿宋_GB2312" w:cs="仿宋_GB2312" w:eastAsia="仿宋_GB2312"/>
        </w:rPr>
        <w:t>（以下简称“代理机构”）受</w:t>
      </w:r>
      <w:r>
        <w:rPr>
          <w:rFonts w:ascii="仿宋_GB2312" w:hAnsi="仿宋_GB2312" w:cs="仿宋_GB2312" w:eastAsia="仿宋_GB2312"/>
        </w:rPr>
        <w:t>商洛市商州区人民法院</w:t>
      </w:r>
      <w:r>
        <w:rPr>
          <w:rFonts w:ascii="仿宋_GB2312" w:hAnsi="仿宋_GB2312" w:cs="仿宋_GB2312" w:eastAsia="仿宋_GB2312"/>
        </w:rPr>
        <w:t>委托，拟对</w:t>
      </w:r>
      <w:r>
        <w:rPr>
          <w:rFonts w:ascii="仿宋_GB2312" w:hAnsi="仿宋_GB2312" w:cs="仿宋_GB2312" w:eastAsia="仿宋_GB2312"/>
        </w:rPr>
        <w:t>商州区人民法院基层人民法庭庭审业务装备服务项目(二次)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GXHC-202614.1B1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商州区人民法院基层人民法庭庭审业务装备服务项目(二次)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商州区人民法院基层人民法庭庭审业务装备服务项目，主要为商州区沙河子法庭、杨峪河法庭、牧护关法庭配置一批庭审业务装备。包含智慧庭审应用系统服务、高清数字媒体综合控制系统、庭审智慧服务终端、设备管理服务系统等。详见采购文件及采购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合法有效：供应商须在中华人民共和国境内注册，依法取得并有效存续的营业执照（或事业单位法人证书\民办非企业单位登记证书\非企业专业服务机构执业许可证等主体资格证书）。供应商须在项目电子化采购系统中提交主体资格证书（根据企业类型、性质选择其一）原件的扫描件，并完成电子签章。</w:t>
      </w:r>
    </w:p>
    <w:p>
      <w:pPr>
        <w:pStyle w:val="null3"/>
      </w:pPr>
      <w:r>
        <w:rPr>
          <w:rFonts w:ascii="仿宋_GB2312" w:hAnsi="仿宋_GB2312" w:cs="仿宋_GB2312" w:eastAsia="仿宋_GB2312"/>
        </w:rPr>
        <w:t>2、具有良好的财务状况：供应商须具有良好的财务状况，并须在项目电子化交易系统中提交近一个年度经第三方机构审计的财务报告（成立时间至提交响应文件截止时间不足一年的可提供成立后任意时段的资产负债表），或其本项目磋商公告前三个月内基本开户银行出具的资信证明（以上两种形式的资料提供任何一种即可），并完成电子签章。</w:t>
      </w:r>
    </w:p>
    <w:p>
      <w:pPr>
        <w:pStyle w:val="null3"/>
      </w:pPr>
      <w:r>
        <w:rPr>
          <w:rFonts w:ascii="仿宋_GB2312" w:hAnsi="仿宋_GB2312" w:cs="仿宋_GB2312" w:eastAsia="仿宋_GB2312"/>
        </w:rPr>
        <w:t>3、具有良好的税收缴纳记录：供应商须具有良好的税收缴纳记录，并须在项目电子化交易系统中提交2025年6月以来内任意一个月的缴纳税收凭据（任意税种，时间以税款所属日期为准，凭据须有税务机关或代收机关的公章或业务专用章，依法免税或无须缴纳税收应提供相应证明文件），并完成电子签章。</w:t>
      </w:r>
    </w:p>
    <w:p>
      <w:pPr>
        <w:pStyle w:val="null3"/>
      </w:pPr>
      <w:r>
        <w:rPr>
          <w:rFonts w:ascii="仿宋_GB2312" w:hAnsi="仿宋_GB2312" w:cs="仿宋_GB2312" w:eastAsia="仿宋_GB2312"/>
        </w:rPr>
        <w:t>4、具有良好的社会保障资金缴纳记录：供应商须具有良好的社会保障资金缴纳记录，并须在项目电子化交易系统中提交2025年6月以来内任意一个月的社会保障资金缴存单据或社保机构开具的社会保险参保缴费情况证明，依法不需要缴纳社会保障资金的须提供相关证明文件，并完成电子签章。</w:t>
      </w:r>
    </w:p>
    <w:p>
      <w:pPr>
        <w:pStyle w:val="null3"/>
      </w:pPr>
      <w:r>
        <w:rPr>
          <w:rFonts w:ascii="仿宋_GB2312" w:hAnsi="仿宋_GB2312" w:cs="仿宋_GB2312" w:eastAsia="仿宋_GB2312"/>
        </w:rPr>
        <w:t>5、近三年内在经营活动中无重大违法记录：供应商近三年内在经营活动中须无重大违法记录，并须在项目电子化交易系统中提交近三年内在经营活动中无重大违法记录声明函，且近三年内在经营活动中无重大违法记录，并完成电子签章。</w:t>
      </w:r>
    </w:p>
    <w:p>
      <w:pPr>
        <w:pStyle w:val="null3"/>
      </w:pPr>
      <w:r>
        <w:rPr>
          <w:rFonts w:ascii="仿宋_GB2312" w:hAnsi="仿宋_GB2312" w:cs="仿宋_GB2312" w:eastAsia="仿宋_GB2312"/>
        </w:rPr>
        <w:t>6、控股关系承诺合法有效：单位负责人为同一人或者存在直接控股、管理关系的不同供应商，不得同时参加本项目同一合同项下政府采购活动。供应商须在项目电子化交易系统中提交“单位负责人为同一人或者存在直接控股、管理关系的不同供应商，不得同时参加本项目同一合同项下的政府采购活动的承诺书”原件的扫描件，并完成电子签章。</w:t>
      </w:r>
    </w:p>
    <w:p>
      <w:pPr>
        <w:pStyle w:val="null3"/>
      </w:pPr>
      <w:r>
        <w:rPr>
          <w:rFonts w:ascii="仿宋_GB2312" w:hAnsi="仿宋_GB2312" w:cs="仿宋_GB2312" w:eastAsia="仿宋_GB2312"/>
        </w:rPr>
        <w:t>7、非联合体不分包响应声明合法有效：本项目不接受联合体响应，供应商须以一个独立的法人实体参加响应。供应商须在项目电子化交易系统中提交“非联合体不分包响应声明函”原件的扫描件，并完成电子签章。</w:t>
      </w:r>
    </w:p>
    <w:p>
      <w:pPr>
        <w:pStyle w:val="null3"/>
      </w:pPr>
      <w:r>
        <w:rPr>
          <w:rFonts w:ascii="仿宋_GB2312" w:hAnsi="仿宋_GB2312" w:cs="仿宋_GB2312" w:eastAsia="仿宋_GB2312"/>
        </w:rPr>
        <w:t>8、信用记录声明及查询合法有效：供应商未被信用中国网站（http://www.creditchina.gov.cn）列入信用记录失信被执行人、重大税收违法案件当事人名单，未被中国政府采购网（http://www.ccgp.gov.cn）列为政府采购严重违法失信行为记录名单、未被禁止参加政府采购活动。供应商须在项目电子化交易系统中提交《供应商信用记录声明函》，并完成电子签章。采购人及采购代理机构在开标后现场查询信用记录并下载查询报告及截图保存，存在不良信用记录的，按无效响应处理。</w:t>
      </w:r>
    </w:p>
    <w:p>
      <w:pPr>
        <w:pStyle w:val="null3"/>
      </w:pPr>
      <w:r>
        <w:rPr>
          <w:rFonts w:ascii="仿宋_GB2312" w:hAnsi="仿宋_GB2312" w:cs="仿宋_GB2312" w:eastAsia="仿宋_GB2312"/>
        </w:rPr>
        <w:t>9、法定代表人授权书合法有效：供应商法定代表人直接参加磋商的须提供本人身份证、法定代表人身份证明书，法定代表人授权代表参加磋商的须提供法定代表人授权书、被授权人身份证，并须在项目电子化交易系统中提交法定代表人身份证、法定代表人身份证明书（或法定代表人授权书、被授权人身份证）原件的扫描件，并完成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商洛市商州区人民法院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陕西省商洛市商州区向阳路南段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商洛市商州区人民法院经办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18192551122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陕西国信恒创工程咨询有限公司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陕西省商洛市商州区商郡城2幢</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林霄</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13209142772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商洛市财政局政府采购管理科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屈老师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0914-2330993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开户名称：陕西国信恒创工程咨询有限公司</w:t>
            </w:r>
          </w:p>
          <w:p>
            <w:pPr>
              <w:pStyle w:val="null3"/>
            </w:pPr>
            <w:r>
              <w:rPr>
                <w:rFonts w:ascii="仿宋_GB2312" w:hAnsi="仿宋_GB2312" w:cs="仿宋_GB2312" w:eastAsia="仿宋_GB2312"/>
              </w:rPr>
              <w:t>开户银行：中国建设银行股份有限公司商洛分行营业部</w:t>
            </w:r>
          </w:p>
          <w:p>
            <w:pPr>
              <w:pStyle w:val="null3"/>
            </w:pPr>
            <w:r>
              <w:rPr>
                <w:rFonts w:ascii="仿宋_GB2312" w:hAnsi="仿宋_GB2312" w:cs="仿宋_GB2312" w:eastAsia="仿宋_GB2312"/>
              </w:rPr>
              <w:t>银行账号：61050167001400002546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代理服务费收费标准：参照国家计委[2002]1980号文件《招标代理服务收费管理暂行办法》、发改委[2011]534号文件《关于降低部分建设项目收费标准规范收费行为等有关问题的通知》规定的收费标准。</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商洛市商州区人民法院</w:t>
      </w:r>
      <w:r>
        <w:rPr>
          <w:rFonts w:ascii="仿宋_GB2312" w:hAnsi="仿宋_GB2312" w:cs="仿宋_GB2312" w:eastAsia="仿宋_GB2312"/>
        </w:rPr>
        <w:t>和</w:t>
      </w:r>
      <w:r>
        <w:rPr>
          <w:rFonts w:ascii="仿宋_GB2312" w:hAnsi="仿宋_GB2312" w:cs="仿宋_GB2312" w:eastAsia="仿宋_GB2312"/>
        </w:rPr>
        <w:t>陕西国信恒创工程咨询有限公司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商洛市商州区人民法院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陕西国信恒创工程咨询有限公司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商洛市商州区人民法院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陕西国信恒创工程咨询有限公司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三、如采用供应商所不拥有的知识产权，则在报价中必须包括合法使用该知识产权的相关费用。 四、构成本磋商文件的各组成部分，未经采购人书面同意，供应商不得擅自复印或用于非本磋商项目所需的其他目的。</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采购要求及国内行业相应的标准、规范。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陕西国信恒创工程咨询有限公司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陕西国信恒创工程咨询有限公司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陕西国信恒创工程咨询有限公司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联系人：林霄</w:t>
      </w:r>
    </w:p>
    <w:p>
      <w:pPr>
        <w:pStyle w:val="null3"/>
      </w:pPr>
      <w:r>
        <w:rPr>
          <w:rFonts w:ascii="仿宋_GB2312" w:hAnsi="仿宋_GB2312" w:cs="仿宋_GB2312" w:eastAsia="仿宋_GB2312"/>
        </w:rPr>
        <w:t>联系电话：13209142772</w:t>
      </w:r>
    </w:p>
    <w:p>
      <w:pPr>
        <w:pStyle w:val="null3"/>
      </w:pPr>
      <w:r>
        <w:rPr>
          <w:rFonts w:ascii="仿宋_GB2312" w:hAnsi="仿宋_GB2312" w:cs="仿宋_GB2312" w:eastAsia="仿宋_GB2312"/>
        </w:rPr>
        <w:t>地址：陕西省商洛市商州区商郡城北大门2幢</w:t>
      </w:r>
    </w:p>
    <w:p>
      <w:pPr>
        <w:pStyle w:val="null3"/>
      </w:pPr>
      <w:r>
        <w:rPr>
          <w:rFonts w:ascii="仿宋_GB2312" w:hAnsi="仿宋_GB2312" w:cs="仿宋_GB2312" w:eastAsia="仿宋_GB2312"/>
        </w:rPr>
        <w:t>邮编：726000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本项目为商州区沙河子法庭、杨峪河法庭、牧护关法庭配置庭审业务装备。包含智慧庭审应用系统服务、高清数字媒体综合控制系统、庭审智慧服务终端、设备管理服务系统等。详见采购清单。</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终端设备和服务</w:t>
            </w:r>
          </w:p>
        </w:tc>
        <w:tc>
          <w:tcPr>
            <w:tcW w:type="dxa" w:w="755"/>
          </w:tcPr>
          <w:p>
            <w:pPr>
              <w:pStyle w:val="null3"/>
              <w:jc w:val="right"/>
            </w:pPr>
            <w:r>
              <w:rPr>
                <w:rFonts w:ascii="仿宋_GB2312" w:hAnsi="仿宋_GB2312" w:cs="仿宋_GB2312" w:eastAsia="仿宋_GB2312"/>
              </w:rPr>
              <w:t>3.00</w:t>
            </w:r>
          </w:p>
        </w:tc>
        <w:tc>
          <w:tcPr>
            <w:tcW w:type="dxa" w:w="755"/>
          </w:tcPr>
          <w:p>
            <w:pPr>
              <w:pStyle w:val="null3"/>
              <w:jc w:val="right"/>
            </w:pPr>
            <w:r>
              <w:rPr>
                <w:rFonts w:ascii="仿宋_GB2312" w:hAnsi="仿宋_GB2312" w:cs="仿宋_GB2312" w:eastAsia="仿宋_GB2312"/>
              </w:rPr>
              <w:t>1,000,000.00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标的名称：终端设备和服务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高清数字媒体综合控制服   3台</w:t>
            </w:r>
            <w:r>
              <w:br/>
            </w:r>
            <w:r>
              <w:rPr>
                <w:rFonts w:ascii="仿宋_GB2312" w:hAnsi="仿宋_GB2312" w:cs="仿宋_GB2312" w:eastAsia="仿宋_GB2312"/>
              </w:rPr>
              <w:t xml:space="preserve"> 1.标准19英寸机箱，≤1U电信级架构设计； ★2.采用国产化ARM架构芯片，处理器≥四核芯；（提供带有该项参数检测的第三方检测报告，扫描件加盖公章） 3.采用嵌入式操作系统，免受病毒、黑客的入侵和攻击； 4.支持7×24小时运行； 5.离线状态下，主机仍可开庭运行，进行脱机庭审录音录像、法庭控制操作； 6.≥2路HDMI视频输入接口，支持4K（3840*2160）分辨率，支持音频同步输入； 7.≥2路HDMI视频输出接口，支持4K（3840*2160）分辨率，支持音频同步输出； 8.≥12路MIC/LINE话筒音频输入，带48V幻象供电； 9.≥4路立体声证据音频输入； 10.≥4路平衡线路音频输出； ★11.≥2通道100W音频功放输出；（提供带有该项参数检测的第三方检测报告，扫描件加盖公章） ★12.≥6路千兆RJ45网口，用于网络编码摄像机接入；（提供带有该项参数检测的第三方检测报告，扫描件加盖公章） ★13.≥2路USB接口、≥1路TYPE-C接口，可外挂U盘、光驱等外围存储设备；（提供带有该项参数检测的第三方检测报告，扫描件加盖公章） 14.≥1路RS485/422、≥1路RS232可编程控制接口，连接控制面板、电源控制器、摄像机等外围控制设备； 15.支持WEB网页对主机进行远程控制、管理、升级； 16.内置视频矩阵功能，支持全局可视化通道链路显示，视频输出分辨率支持3840×2160、1920×1080、1280×720、1024×768、1280×800、1280×1024； 17.支持合成画面，可选2、3、4、6、8、9等画面分割模式，满足不同场景应用，合成分辨率支持3840×2160、1920×1080； 18.支持可编程软中控功能，用户可自定义一键式开庭、闭庭、远程庭审、本地庭审等场景调用和设备控制； 19.内置自动混音、反馈抑制、噪声消除，回声消除、分组混音多种音频处理功能设置； 20.内置≥20×24音频混音矩阵，支持语音激励功能； ★21.支持每支话筒独立音频PCM编码，无需专门配置声卡音频编码设备即可实现语音转写；（提供带有该项参数检测的第三方检测报告，扫描件加盖公章） 22.支持不少于8路1080P或2路4K分辨率视频编码能力，支持H.265/H.264编解码； ★23.支持≥16路音频编码，支持AAC、G711、PCM音频编解码协议；（提供带有该项参数检测的第三方检测报告，扫描件加盖公章） 24.支持标准H.323视频通话协议，与第三方设备互联互通； 25.最大支持5方远程开庭； ★26.支持RTSP、RTMP、HTTPS流媒体音视频传输协议；（提供带有该项参数检测的第三方检测报告，扫描件加盖公章） 27.内置证人远程出庭保护功能，支持证人画面马赛克处理，声音变声处理； 28.内置≥2T储存硬盘，满足法庭本地实时备份存储庭审录音录像，文件格式MP4； 29.实时录制认证要求：为保证庭审音视频同步录音录像，为提高流媒体录制并发效率，满足多法庭后台服务，需具备数字法庭系统流媒体实时录制文件功能的能力。务</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智慧庭审应用系统服务  3套</w:t>
            </w:r>
          </w:p>
          <w:p>
            <w:pPr>
              <w:pStyle w:val="null3"/>
            </w:pPr>
            <w:r>
              <w:rPr>
                <w:rFonts w:ascii="仿宋_GB2312" w:hAnsi="仿宋_GB2312" w:cs="仿宋_GB2312" w:eastAsia="仿宋_GB2312"/>
              </w:rPr>
              <w:t>需满足《全国法院办公办案平台中数字法庭建设技术规范》的相关要求，“一张网”下自建自用的数字法庭应满足UI设计规范，系统架构设计采用B/S架构，以便于全国办公办案平台的便捷调用。配合庭审资源管理平台使用，提供书记员、法官、当事人应用端，包含排期管理、庭审录音录像、笔录制作、笔录同步等功能。</w:t>
            </w:r>
            <w:r>
              <w:br/>
            </w:r>
            <w:r>
              <w:rPr>
                <w:rFonts w:ascii="仿宋_GB2312" w:hAnsi="仿宋_GB2312" w:cs="仿宋_GB2312" w:eastAsia="仿宋_GB2312"/>
              </w:rPr>
              <w:t xml:space="preserve"> 一、法官应用模块</w:t>
            </w:r>
            <w:r>
              <w:br/>
            </w:r>
            <w:r>
              <w:rPr>
                <w:rFonts w:ascii="仿宋_GB2312" w:hAnsi="仿宋_GB2312" w:cs="仿宋_GB2312" w:eastAsia="仿宋_GB2312"/>
              </w:rPr>
              <w:t xml:space="preserve"> 1.系统需支持与书记员客户端联动，当书记员系统进入庭审后，法官系统提示是否登录到庭审系统中，具备点击姓名进入无需输入用户名和密码，避免法官操作复杂。</w:t>
            </w:r>
            <w:r>
              <w:br/>
            </w:r>
            <w:r>
              <w:rPr>
                <w:rFonts w:ascii="仿宋_GB2312" w:hAnsi="仿宋_GB2312" w:cs="仿宋_GB2312" w:eastAsia="仿宋_GB2312"/>
              </w:rPr>
              <w:t xml:space="preserve"> 2.系统需支持独立登录并具备我的案件、待审排期、庭审直播、庭审点播模块，需支持通过案号、当事人、立案时间、案由、承办人查询案件信息，支持通过案号、开庭时间、开庭地点、开庭状态等信息进行查询待审排期信息。</w:t>
            </w:r>
            <w:r>
              <w:br/>
            </w:r>
            <w:r>
              <w:rPr>
                <w:rFonts w:ascii="仿宋_GB2312" w:hAnsi="仿宋_GB2312" w:cs="仿宋_GB2312" w:eastAsia="仿宋_GB2312"/>
              </w:rPr>
              <w:t xml:space="preserve"> 3.系统需支持在待审排期模块下，对案件排期进行修改、删除等操作。</w:t>
            </w:r>
            <w:r>
              <w:br/>
            </w:r>
            <w:r>
              <w:rPr>
                <w:rFonts w:ascii="仿宋_GB2312" w:hAnsi="仿宋_GB2312" w:cs="仿宋_GB2312" w:eastAsia="仿宋_GB2312"/>
              </w:rPr>
              <w:t xml:space="preserve"> 4.系统需支持庭审录像下载、播放视频的功能，下载内容包含庭审复合画面、庭审笔录等内容。</w:t>
            </w:r>
            <w:r>
              <w:br/>
            </w:r>
            <w:r>
              <w:rPr>
                <w:rFonts w:ascii="仿宋_GB2312" w:hAnsi="仿宋_GB2312" w:cs="仿宋_GB2312" w:eastAsia="仿宋_GB2312"/>
              </w:rPr>
              <w:t xml:space="preserve"> 5.系统需支持与书记员客户端联动，能够接收庭审状态通知，如开庭、休庭以及闭庭的状态。</w:t>
            </w:r>
            <w:r>
              <w:br/>
            </w:r>
            <w:r>
              <w:rPr>
                <w:rFonts w:ascii="仿宋_GB2312" w:hAnsi="仿宋_GB2312" w:cs="仿宋_GB2312" w:eastAsia="仿宋_GB2312"/>
              </w:rPr>
              <w:t xml:space="preserve"> ▲6.系统需支持与书记员系统的庭审笔录实时联动，法官可实时同步查看书记员记录笔录的内容，同时支持法官与书记员协同编辑笔录。（提供系统操作界面截图并加盖公章）</w:t>
            </w:r>
            <w:r>
              <w:br/>
            </w:r>
            <w:r>
              <w:rPr>
                <w:rFonts w:ascii="仿宋_GB2312" w:hAnsi="仿宋_GB2312" w:cs="仿宋_GB2312" w:eastAsia="仿宋_GB2312"/>
              </w:rPr>
              <w:t xml:space="preserve"> ▲7.系统需支持开启跟随和关闭跟随笔录内容的功能，方便法官对笔录内容自行翻看查阅。（提供系统操作界面截图并加盖公章）</w:t>
            </w:r>
            <w:r>
              <w:br/>
            </w:r>
            <w:r>
              <w:rPr>
                <w:rFonts w:ascii="仿宋_GB2312" w:hAnsi="仿宋_GB2312" w:cs="仿宋_GB2312" w:eastAsia="仿宋_GB2312"/>
              </w:rPr>
              <w:t xml:space="preserve"> ▲8.系统登录后支持屏幕手动切换，针对每屏的功能，可以通过模块的拖动确定每屏功能，灵活适应不同法官的需求，屏幕所占比例支持灵活的拖动变化，适用不同用户的阅读和使用习惯。（提供系统操作界面截图并加盖公章）</w:t>
            </w:r>
            <w:r>
              <w:br/>
            </w:r>
            <w:r>
              <w:rPr>
                <w:rFonts w:ascii="仿宋_GB2312" w:hAnsi="仿宋_GB2312" w:cs="仿宋_GB2312" w:eastAsia="仿宋_GB2312"/>
              </w:rPr>
              <w:t xml:space="preserve"> 9.系统应具备庭审人员模块，通过此模块可查看诉讼参与人的信息，包含诉讼地位、人员姓名、联系电话、证件号码等，同时具备展开和收起庭审视频图像的功能。</w:t>
            </w:r>
            <w:r>
              <w:br/>
            </w:r>
            <w:r>
              <w:rPr>
                <w:rFonts w:ascii="仿宋_GB2312" w:hAnsi="仿宋_GB2312" w:cs="仿宋_GB2312" w:eastAsia="仿宋_GB2312"/>
              </w:rPr>
              <w:t xml:space="preserve"> 10.系统应具备庭审指导功能，可显示审判组织成员并自动生成群组，可通过即时通讯功能辅助加强法官、书记员之间的文字交流。</w:t>
            </w:r>
            <w:r>
              <w:br/>
            </w:r>
            <w:r>
              <w:rPr>
                <w:rFonts w:ascii="仿宋_GB2312" w:hAnsi="仿宋_GB2312" w:cs="仿宋_GB2312" w:eastAsia="仿宋_GB2312"/>
              </w:rPr>
              <w:t xml:space="preserve"> ▲11.系统应具备笔录控制功能，支持授权当事人查看笔录功能，开启后当事人可查看书记员笔录内容。（提供系统操作界面截图并加盖公章）</w:t>
            </w:r>
            <w:r>
              <w:br/>
            </w:r>
            <w:r>
              <w:rPr>
                <w:rFonts w:ascii="仿宋_GB2312" w:hAnsi="仿宋_GB2312" w:cs="仿宋_GB2312" w:eastAsia="仿宋_GB2312"/>
              </w:rPr>
              <w:t xml:space="preserve"> 12.系统在双屏模式下，庭审笔录模块应与其它功能模块进行双屏查看，并支持单屏全屏显示。</w:t>
            </w:r>
            <w:r>
              <w:br/>
            </w:r>
            <w:r>
              <w:rPr>
                <w:rFonts w:ascii="仿宋_GB2312" w:hAnsi="仿宋_GB2312" w:cs="仿宋_GB2312" w:eastAsia="仿宋_GB2312"/>
              </w:rPr>
              <w:t xml:space="preserve"> 13.支持鲲鹏、飞腾、兆芯等国产芯片架构的信创电脑。</w:t>
            </w:r>
            <w:r>
              <w:br/>
            </w:r>
            <w:r>
              <w:rPr>
                <w:rFonts w:ascii="仿宋_GB2312" w:hAnsi="仿宋_GB2312" w:cs="仿宋_GB2312" w:eastAsia="仿宋_GB2312"/>
              </w:rPr>
              <w:t xml:space="preserve"> 二、书记员应用模块</w:t>
            </w:r>
            <w:r>
              <w:br/>
            </w:r>
            <w:r>
              <w:rPr>
                <w:rFonts w:ascii="仿宋_GB2312" w:hAnsi="仿宋_GB2312" w:cs="仿宋_GB2312" w:eastAsia="仿宋_GB2312"/>
              </w:rPr>
              <w:t xml:space="preserve"> 1.系统需支持与法官、当事人系统联动，当书记员系统进入庭审后，法官、当事人系统有相应的状态变化。</w:t>
            </w:r>
            <w:r>
              <w:br/>
            </w:r>
            <w:r>
              <w:rPr>
                <w:rFonts w:ascii="仿宋_GB2312" w:hAnsi="仿宋_GB2312" w:cs="仿宋_GB2312" w:eastAsia="仿宋_GB2312"/>
              </w:rPr>
              <w:t xml:space="preserve"> 2.系统需支持独立登录并具备我的案件、待审排期、庭审直播、庭审点播模块，需支持通过案号、当事人、立案时间、案由、承办人查询案件信息，支持通过案号、开庭时间、开庭地点、开庭状态等信息进行查询待审排期信息。</w:t>
            </w:r>
            <w:r>
              <w:br/>
            </w:r>
            <w:r>
              <w:rPr>
                <w:rFonts w:ascii="仿宋_GB2312" w:hAnsi="仿宋_GB2312" w:cs="仿宋_GB2312" w:eastAsia="仿宋_GB2312"/>
              </w:rPr>
              <w:t xml:space="preserve"> 3.系统需支持在待审排期模块下，对案件排期进行修改、删除等操作，点击案号可直接进入庭审系统页面。</w:t>
            </w:r>
            <w:r>
              <w:br/>
            </w:r>
            <w:r>
              <w:rPr>
                <w:rFonts w:ascii="仿宋_GB2312" w:hAnsi="仿宋_GB2312" w:cs="仿宋_GB2312" w:eastAsia="仿宋_GB2312"/>
              </w:rPr>
              <w:t xml:space="preserve"> 4.系统需支持庭审录像下载、播放视频的功能，下载内容包含庭审复合画面、庭审笔录等内容，能够下载签名笔录支持导出、打印。</w:t>
            </w:r>
            <w:r>
              <w:br/>
            </w:r>
            <w:r>
              <w:rPr>
                <w:rFonts w:ascii="仿宋_GB2312" w:hAnsi="仿宋_GB2312" w:cs="仿宋_GB2312" w:eastAsia="仿宋_GB2312"/>
              </w:rPr>
              <w:t xml:space="preserve"> 5.系统需具备新建案件和新建排期的功能，支持录入临时开庭的案号及案件类型并进行开庭录像。</w:t>
            </w:r>
            <w:r>
              <w:br/>
            </w:r>
            <w:r>
              <w:rPr>
                <w:rFonts w:ascii="仿宋_GB2312" w:hAnsi="仿宋_GB2312" w:cs="仿宋_GB2312" w:eastAsia="仿宋_GB2312"/>
              </w:rPr>
              <w:t xml:space="preserve"> 6.系统需具备合并审理功能，通过选择多个案件进行合并审理。</w:t>
            </w:r>
            <w:r>
              <w:br/>
            </w:r>
            <w:r>
              <w:rPr>
                <w:rFonts w:ascii="仿宋_GB2312" w:hAnsi="仿宋_GB2312" w:cs="仿宋_GB2312" w:eastAsia="仿宋_GB2312"/>
              </w:rPr>
              <w:t xml:space="preserve"> ▲7.系统需支持≥2种法庭用途。（提供系统操作界面截图并加盖公章）</w:t>
            </w:r>
            <w:r>
              <w:br/>
            </w:r>
            <w:r>
              <w:rPr>
                <w:rFonts w:ascii="仿宋_GB2312" w:hAnsi="仿宋_GB2312" w:cs="仿宋_GB2312" w:eastAsia="仿宋_GB2312"/>
              </w:rPr>
              <w:t xml:space="preserve"> 8.系统需支持多种开庭方式，包括：本地开庭、远程开庭、互联网开庭、远程+互联网开庭等。</w:t>
            </w:r>
            <w:r>
              <w:br/>
            </w:r>
            <w:r>
              <w:rPr>
                <w:rFonts w:ascii="仿宋_GB2312" w:hAnsi="仿宋_GB2312" w:cs="仿宋_GB2312" w:eastAsia="仿宋_GB2312"/>
              </w:rPr>
              <w:t xml:space="preserve"> 9.系统登录后支持单屏/双屏模式的手动切换，在双屏模式下，屏幕所占比例支持灵活的拖动变化，适用不同用户的阅读和使用习惯。</w:t>
            </w:r>
            <w:r>
              <w:br/>
            </w:r>
            <w:r>
              <w:rPr>
                <w:rFonts w:ascii="仿宋_GB2312" w:hAnsi="仿宋_GB2312" w:cs="仿宋_GB2312" w:eastAsia="仿宋_GB2312"/>
              </w:rPr>
              <w:t xml:space="preserve"> 10.系统应具备语音播报模块，语音播报内容包含法庭纪律、权利义务、权利义务告知等。</w:t>
            </w:r>
            <w:r>
              <w:br/>
            </w:r>
            <w:r>
              <w:rPr>
                <w:rFonts w:ascii="仿宋_GB2312" w:hAnsi="仿宋_GB2312" w:cs="仿宋_GB2312" w:eastAsia="仿宋_GB2312"/>
              </w:rPr>
              <w:t xml:space="preserve"> ▲11.系统应具备到庭提醒功能，在语音播报模块下选择到庭提醒模块，支持自定义呼叫当事人到法庭参与庭审，具备手动输入文字的功能；（提供系统操作界面截图并加盖公章）</w:t>
            </w:r>
            <w:r>
              <w:br/>
            </w:r>
            <w:r>
              <w:rPr>
                <w:rFonts w:ascii="仿宋_GB2312" w:hAnsi="仿宋_GB2312" w:cs="仿宋_GB2312" w:eastAsia="仿宋_GB2312"/>
              </w:rPr>
              <w:t xml:space="preserve"> 12.系统应具备笔录编辑功能，书记员可以编辑笔录，支持将笔录内容同步到法官及当事人客户端，保证法官及当事人对于笔录内容的知情权，发现笔录记录问题可以及时提醒做出修改完善。</w:t>
            </w:r>
            <w:r>
              <w:br/>
            </w:r>
            <w:r>
              <w:rPr>
                <w:rFonts w:ascii="仿宋_GB2312" w:hAnsi="仿宋_GB2312" w:cs="仿宋_GB2312" w:eastAsia="仿宋_GB2312"/>
              </w:rPr>
              <w:t xml:space="preserve"> 13.书记员笔录记录过程中，支持从第一页第一行开始，到最后一页，在每行前边具备行号显示，以同步给当事人进行笔录核对时同步消息，行号显示不得影响排版效果。</w:t>
            </w:r>
            <w:r>
              <w:br/>
            </w:r>
            <w:r>
              <w:rPr>
                <w:rFonts w:ascii="仿宋_GB2312" w:hAnsi="仿宋_GB2312" w:cs="仿宋_GB2312" w:eastAsia="仿宋_GB2312"/>
              </w:rPr>
              <w:t xml:space="preserve"> 14.系统应具备存疑列表展示功能，可以展示当事人对笔录存疑的内容。</w:t>
            </w:r>
            <w:r>
              <w:br/>
            </w:r>
            <w:r>
              <w:rPr>
                <w:rFonts w:ascii="仿宋_GB2312" w:hAnsi="仿宋_GB2312" w:cs="仿宋_GB2312" w:eastAsia="仿宋_GB2312"/>
              </w:rPr>
              <w:t xml:space="preserve"> ▲15.系统应支持快捷入口功功能（提供系统操作界面截图并加盖公章）</w:t>
            </w:r>
            <w:r>
              <w:br/>
            </w:r>
            <w:r>
              <w:rPr>
                <w:rFonts w:ascii="仿宋_GB2312" w:hAnsi="仿宋_GB2312" w:cs="仿宋_GB2312" w:eastAsia="仿宋_GB2312"/>
              </w:rPr>
              <w:t xml:space="preserve"> ▲16.系统应支持在记录笔录过程中的调整。（提供系统操作界面截图并加盖公章）</w:t>
            </w:r>
            <w:r>
              <w:br/>
            </w:r>
            <w:r>
              <w:rPr>
                <w:rFonts w:ascii="仿宋_GB2312" w:hAnsi="仿宋_GB2312" w:cs="仿宋_GB2312" w:eastAsia="仿宋_GB2312"/>
              </w:rPr>
              <w:t xml:space="preserve"> 17.支持鲲鹏、飞腾、兆芯等国产芯片架构的信创电脑。</w:t>
            </w:r>
            <w:r>
              <w:br/>
            </w:r>
            <w:r>
              <w:rPr>
                <w:rFonts w:ascii="仿宋_GB2312" w:hAnsi="仿宋_GB2312" w:cs="仿宋_GB2312" w:eastAsia="仿宋_GB2312"/>
              </w:rPr>
              <w:t xml:space="preserve"> 三、当事人应用模块</w:t>
            </w:r>
            <w:r>
              <w:br/>
            </w:r>
            <w:r>
              <w:rPr>
                <w:rFonts w:ascii="仿宋_GB2312" w:hAnsi="仿宋_GB2312" w:cs="仿宋_GB2312" w:eastAsia="仿宋_GB2312"/>
              </w:rPr>
              <w:t xml:space="preserve"> 1.系统需支持在未进入庭审前显示法庭纪律的内容，有助于提醒当事人遵守法庭纪律。</w:t>
            </w:r>
            <w:r>
              <w:br/>
            </w:r>
            <w:r>
              <w:rPr>
                <w:rFonts w:ascii="仿宋_GB2312" w:hAnsi="仿宋_GB2312" w:cs="仿宋_GB2312" w:eastAsia="仿宋_GB2312"/>
              </w:rPr>
              <w:t xml:space="preserve"> 2.系统需支持与书记员客户端联动，当书记员系统进入庭审后，当事人系统自动登录的到庭审系统中，避免当事人操作复杂。</w:t>
            </w:r>
            <w:r>
              <w:br/>
            </w:r>
            <w:r>
              <w:rPr>
                <w:rFonts w:ascii="仿宋_GB2312" w:hAnsi="仿宋_GB2312" w:cs="仿宋_GB2312" w:eastAsia="仿宋_GB2312"/>
              </w:rPr>
              <w:t xml:space="preserve"> 3.系统进入后应具备显示案号、开庭状态的信息。</w:t>
            </w:r>
            <w:r>
              <w:br/>
            </w:r>
            <w:r>
              <w:rPr>
                <w:rFonts w:ascii="仿宋_GB2312" w:hAnsi="仿宋_GB2312" w:cs="仿宋_GB2312" w:eastAsia="仿宋_GB2312"/>
              </w:rPr>
              <w:t xml:space="preserve"> 4.系统应支持双屏或单屏全屏显示，支持与书记员客户端联动，能够接收庭审状态通知，如开庭、休庭、以及闭庭的状态。</w:t>
            </w:r>
            <w:r>
              <w:br/>
            </w:r>
            <w:r>
              <w:rPr>
                <w:rFonts w:ascii="仿宋_GB2312" w:hAnsi="仿宋_GB2312" w:cs="仿宋_GB2312" w:eastAsia="仿宋_GB2312"/>
              </w:rPr>
              <w:t xml:space="preserve"> 5.系统应支持默认显示书记员记录的实时笔录内容，可实时同步查看书记员记录笔录的内容，通过法官或书记员端的权限控制，也可以实现自己翻看。</w:t>
            </w:r>
            <w:r>
              <w:br/>
            </w:r>
            <w:r>
              <w:rPr>
                <w:rFonts w:ascii="仿宋_GB2312" w:hAnsi="仿宋_GB2312" w:cs="仿宋_GB2312" w:eastAsia="仿宋_GB2312"/>
              </w:rPr>
              <w:t xml:space="preserve"> 6.当法官认为当事人不应该看到庭审笔录时，可以直接在法官端或者书记员端灵活控制授权当事人查看笔录或者不查看笔录。</w:t>
            </w:r>
            <w:r>
              <w:br/>
            </w:r>
            <w:r>
              <w:rPr>
                <w:rFonts w:ascii="仿宋_GB2312" w:hAnsi="仿宋_GB2312" w:cs="仿宋_GB2312" w:eastAsia="仿宋_GB2312"/>
              </w:rPr>
              <w:t xml:space="preserve"> 7.系统应支持对书记员记录的笔录内容进行存疑标记，可以选择笔录内容进行存疑标记。</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诉讼服务工作台  3台</w:t>
            </w:r>
          </w:p>
          <w:p>
            <w:pPr>
              <w:pStyle w:val="null3"/>
            </w:pPr>
            <w:r>
              <w:rPr>
                <w:rFonts w:ascii="仿宋_GB2312" w:hAnsi="仿宋_GB2312" w:cs="仿宋_GB2312" w:eastAsia="仿宋_GB2312"/>
              </w:rPr>
              <w:t>1.处理器：处理器国产X86架构处理器，核心数≥8核，主频≥2.7GHz，二级缓存≥8MB；</w:t>
            </w:r>
            <w:r>
              <w:br/>
            </w:r>
            <w:r>
              <w:rPr>
                <w:rFonts w:ascii="仿宋_GB2312" w:hAnsi="仿宋_GB2312" w:cs="仿宋_GB2312" w:eastAsia="仿宋_GB2312"/>
              </w:rPr>
              <w:t xml:space="preserve"> 2.内存：配置8GB DDR4 UDIMM内存，配置≥2个内存插槽；</w:t>
            </w:r>
            <w:r>
              <w:br/>
            </w:r>
            <w:r>
              <w:rPr>
                <w:rFonts w:ascii="仿宋_GB2312" w:hAnsi="仿宋_GB2312" w:cs="仿宋_GB2312" w:eastAsia="仿宋_GB2312"/>
              </w:rPr>
              <w:t xml:space="preserve"> 3.硬盘：≥512GB M.2接口NVME协议SSD；支持HDD机械硬盘；</w:t>
            </w:r>
            <w:r>
              <w:br/>
            </w:r>
            <w:r>
              <w:rPr>
                <w:rFonts w:ascii="仿宋_GB2312" w:hAnsi="仿宋_GB2312" w:cs="仿宋_GB2312" w:eastAsia="仿宋_GB2312"/>
              </w:rPr>
              <w:t xml:space="preserve"> 4.显卡：集成显卡，另可以支持独立显卡；</w:t>
            </w:r>
            <w:r>
              <w:br/>
            </w:r>
            <w:r>
              <w:rPr>
                <w:rFonts w:ascii="仿宋_GB2312" w:hAnsi="仿宋_GB2312" w:cs="仿宋_GB2312" w:eastAsia="仿宋_GB2312"/>
              </w:rPr>
              <w:t xml:space="preserve"> 5.电源：电源功率≥180W，非80PLUS电源；</w:t>
            </w:r>
            <w:r>
              <w:br/>
            </w:r>
            <w:r>
              <w:rPr>
                <w:rFonts w:ascii="仿宋_GB2312" w:hAnsi="仿宋_GB2312" w:cs="仿宋_GB2312" w:eastAsia="仿宋_GB2312"/>
              </w:rPr>
              <w:t xml:space="preserve"> 6.网络 ：1个RJ45 10/100/1000自适应以太网口； </w:t>
            </w:r>
            <w:r>
              <w:br/>
            </w:r>
            <w:r>
              <w:rPr>
                <w:rFonts w:ascii="仿宋_GB2312" w:hAnsi="仿宋_GB2312" w:cs="仿宋_GB2312" w:eastAsia="仿宋_GB2312"/>
              </w:rPr>
              <w:t xml:space="preserve"> 7.接口扩展 ： ≥3个PCIE扩展插槽；接口：前置USB3.0接口≥4个；后置USB3.0接口≥2个，USB2.0接口≥2个；HDMI*1、VGA*1；音频接口：麦克风1个，耳机1个；后端3个Audio音频接口；</w:t>
            </w:r>
            <w:r>
              <w:br/>
            </w:r>
            <w:r>
              <w:rPr>
                <w:rFonts w:ascii="仿宋_GB2312" w:hAnsi="仿宋_GB2312" w:cs="仿宋_GB2312" w:eastAsia="仿宋_GB2312"/>
              </w:rPr>
              <w:t xml:space="preserve"> 8.易用性： 机箱模块化设计，免工具拆装（提供证明材料）。</w:t>
            </w:r>
            <w:r>
              <w:br/>
            </w:r>
            <w:r>
              <w:rPr>
                <w:rFonts w:ascii="仿宋_GB2312" w:hAnsi="仿宋_GB2312" w:cs="仿宋_GB2312" w:eastAsia="仿宋_GB2312"/>
              </w:rPr>
              <w:t xml:space="preserve"> 9.数据安全： BIOS级USB屏蔽及智能USB数据保护：USB支持BIOS下接口开关，针对存储设备支持USB接口切换禁止访问模式/只读模式。</w:t>
            </w:r>
            <w:r>
              <w:br/>
            </w:r>
            <w:r>
              <w:rPr>
                <w:rFonts w:ascii="仿宋_GB2312" w:hAnsi="仿宋_GB2312" w:cs="仿宋_GB2312" w:eastAsia="仿宋_GB2312"/>
              </w:rPr>
              <w:t xml:space="preserve"> 10.质控水平 ：MTBF≥1000000小时，并提供证书扫描件加盖厂家公章；</w:t>
            </w:r>
            <w:r>
              <w:br/>
            </w:r>
            <w:r>
              <w:rPr>
                <w:rFonts w:ascii="仿宋_GB2312" w:hAnsi="仿宋_GB2312" w:cs="仿宋_GB2312" w:eastAsia="仿宋_GB2312"/>
              </w:rPr>
              <w:t xml:space="preserve"> 11.机箱：机箱≥13.6L </w:t>
            </w:r>
            <w:r>
              <w:br/>
            </w:r>
            <w:r>
              <w:rPr>
                <w:rFonts w:ascii="仿宋_GB2312" w:hAnsi="仿宋_GB2312" w:cs="仿宋_GB2312" w:eastAsia="仿宋_GB2312"/>
              </w:rPr>
              <w:t xml:space="preserve"> 12.显示器：≥23.8寸同品牌液晶显示器 ；</w:t>
            </w:r>
            <w:r>
              <w:br/>
            </w:r>
            <w:r>
              <w:rPr>
                <w:rFonts w:ascii="仿宋_GB2312" w:hAnsi="仿宋_GB2312" w:cs="仿宋_GB2312" w:eastAsia="仿宋_GB2312"/>
              </w:rPr>
              <w:t xml:space="preserve"> 13.服务：针对产品提供原厂三年质保，提供专业的7*24h远程服务支持。</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庭审智慧服务终端  3套</w:t>
            </w:r>
          </w:p>
          <w:p>
            <w:pPr>
              <w:pStyle w:val="null3"/>
            </w:pPr>
            <w:r>
              <w:rPr>
                <w:rFonts w:ascii="仿宋_GB2312" w:hAnsi="仿宋_GB2312" w:cs="仿宋_GB2312" w:eastAsia="仿宋_GB2312"/>
              </w:rPr>
              <w:t>≥23.8寸电容式多点触摸一体机，≥1颗国产 CPU， CPU 物理核心数≥8 核，主频≥2.3GHz；内存≥ 16GB，硬盘≥1 块 256SSD；含防水防尘键鼠套装；含国产操作系统，含浏览器、文字软件、格式转换等授权版；</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设备管理服务系统  3台</w:t>
            </w:r>
          </w:p>
          <w:p>
            <w:pPr>
              <w:pStyle w:val="null3"/>
            </w:pPr>
            <w:r>
              <w:rPr>
                <w:rFonts w:ascii="仿宋_GB2312" w:hAnsi="仿宋_GB2312" w:cs="仿宋_GB2312" w:eastAsia="仿宋_GB2312"/>
              </w:rPr>
              <w:t>8路电源开关控制器，用于控制外设供电电源。与配合可编程媒体控制系统或由第三方控制单独使用。支持单独时序控制，单路容量达AC/~250V/10A；内置光电隔离模块，可保障负载和主机安全。</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编程控制平台  3套</w:t>
            </w:r>
          </w:p>
          <w:p>
            <w:pPr>
              <w:pStyle w:val="null3"/>
            </w:pPr>
            <w:r>
              <w:rPr>
                <w:rFonts w:ascii="仿宋_GB2312" w:hAnsi="仿宋_GB2312" w:cs="仿宋_GB2312" w:eastAsia="仿宋_GB2312"/>
              </w:rPr>
              <w:t>16键可编程输入控制面板，产品每个按键功能可自定义，与庭审主机系统配合使用，含面板底座。</w:t>
            </w:r>
          </w:p>
        </w:tc>
      </w:tr>
      <w:tr>
        <w:tc>
          <w:tcPr>
            <w:tcW w:type="dxa" w:w="2769"/>
          </w:tcPr>
          <w:p>
            <w:pPr>
              <w:pStyle w:val="null3"/>
            </w:pPr>
            <w:r>
              <w:rPr>
                <w:rFonts w:ascii="仿宋_GB2312" w:hAnsi="仿宋_GB2312" w:cs="仿宋_GB2312" w:eastAsia="仿宋_GB2312"/>
              </w:rPr>
              <w:t>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互联网音视频交互网关服务  3套</w:t>
            </w:r>
          </w:p>
          <w:p>
            <w:pPr>
              <w:pStyle w:val="null3"/>
            </w:pPr>
            <w:r>
              <w:rPr>
                <w:rFonts w:ascii="仿宋_GB2312" w:hAnsi="仿宋_GB2312" w:cs="仿宋_GB2312" w:eastAsia="仿宋_GB2312"/>
              </w:rPr>
              <w:t>在满足安全管理规范下，通过跨网安全传输，将法庭与当事人连接并进行案件排期信息、庭审音视频、庭审笔录等数据进行数据交换。系统主要功能如下：</w:t>
            </w:r>
            <w:r>
              <w:br/>
            </w:r>
            <w:r>
              <w:rPr>
                <w:rFonts w:ascii="仿宋_GB2312" w:hAnsi="仿宋_GB2312" w:cs="仿宋_GB2312" w:eastAsia="仿宋_GB2312"/>
              </w:rPr>
              <w:t xml:space="preserve"> 1.具备音频、视频的同时编解码能力。</w:t>
            </w:r>
            <w:r>
              <w:br/>
            </w:r>
            <w:r>
              <w:rPr>
                <w:rFonts w:ascii="仿宋_GB2312" w:hAnsi="仿宋_GB2312" w:cs="仿宋_GB2312" w:eastAsia="仿宋_GB2312"/>
              </w:rPr>
              <w:t xml:space="preserve"> 2.可同时接入不低于16个当事人,支持最多同时显示9个当事人画面;支持通过语音激励切换当事人画面。</w:t>
            </w:r>
            <w:r>
              <w:br/>
            </w:r>
            <w:r>
              <w:rPr>
                <w:rFonts w:ascii="仿宋_GB2312" w:hAnsi="仿宋_GB2312" w:cs="仿宋_GB2312" w:eastAsia="仿宋_GB2312"/>
              </w:rPr>
              <w:t xml:space="preserve"> 3.★可根据网络情况动态调整码率/分辨率。（提供相关证明材料加盖投标人公章）</w:t>
            </w:r>
            <w:r>
              <w:br/>
            </w:r>
            <w:r>
              <w:rPr>
                <w:rFonts w:ascii="仿宋_GB2312" w:hAnsi="仿宋_GB2312" w:cs="仿宋_GB2312" w:eastAsia="仿宋_GB2312"/>
              </w:rPr>
              <w:t xml:space="preserve"> 4.★需支持互联网协议和RTSP协议实时互相转换。（提供相关证明材料加盖投标人公章）</w:t>
            </w:r>
            <w:r>
              <w:br/>
            </w:r>
            <w:r>
              <w:rPr>
                <w:rFonts w:ascii="仿宋_GB2312" w:hAnsi="仿宋_GB2312" w:cs="仿宋_GB2312" w:eastAsia="仿宋_GB2312"/>
              </w:rPr>
              <w:t xml:space="preserve"> 5.将法庭向当事人客户端提供信号传输到互联网音视频网关，与当事人客户端进行音视频的对接传输给法庭庭审主机。</w:t>
            </w:r>
            <w:r>
              <w:br/>
            </w:r>
            <w:r>
              <w:rPr>
                <w:rFonts w:ascii="仿宋_GB2312" w:hAnsi="仿宋_GB2312" w:cs="仿宋_GB2312" w:eastAsia="仿宋_GB2312"/>
              </w:rPr>
              <w:t xml:space="preserve"> 6.★可远程控制软件重启，支持RTSP/RTMP流发送通道，支持RTSP/RTMP流接受通道。（提供相关证明材料加盖投标人公章）</w:t>
            </w:r>
            <w:r>
              <w:br/>
            </w:r>
            <w:r>
              <w:rPr>
                <w:rFonts w:ascii="仿宋_GB2312" w:hAnsi="仿宋_GB2312" w:cs="仿宋_GB2312" w:eastAsia="仿宋_GB2312"/>
              </w:rPr>
              <w:t xml:space="preserve"> 7.视频输入：≥1路HDMI端口，分辨率≥1080P/720P。</w:t>
            </w:r>
            <w:r>
              <w:br/>
            </w:r>
            <w:r>
              <w:rPr>
                <w:rFonts w:ascii="仿宋_GB2312" w:hAnsi="仿宋_GB2312" w:cs="仿宋_GB2312" w:eastAsia="仿宋_GB2312"/>
              </w:rPr>
              <w:t xml:space="preserve"> 8.视频输出：≥2路HDMI端口，分辨率≥1080P/720P。</w:t>
            </w:r>
            <w:r>
              <w:br/>
            </w:r>
            <w:r>
              <w:rPr>
                <w:rFonts w:ascii="仿宋_GB2312" w:hAnsi="仿宋_GB2312" w:cs="仿宋_GB2312" w:eastAsia="仿宋_GB2312"/>
              </w:rPr>
              <w:t xml:space="preserve"> 9.≥1路3.5mm线性输出。</w:t>
            </w:r>
            <w:r>
              <w:br/>
            </w:r>
            <w:r>
              <w:rPr>
                <w:rFonts w:ascii="仿宋_GB2312" w:hAnsi="仿宋_GB2312" w:cs="仿宋_GB2312" w:eastAsia="仿宋_GB2312"/>
              </w:rPr>
              <w:t xml:space="preserve"> 10.≥1路LINE IN接口。</w:t>
            </w:r>
            <w:r>
              <w:br/>
            </w:r>
            <w:r>
              <w:rPr>
                <w:rFonts w:ascii="仿宋_GB2312" w:hAnsi="仿宋_GB2312" w:cs="仿宋_GB2312" w:eastAsia="仿宋_GB2312"/>
              </w:rPr>
              <w:t xml:space="preserve"> 11.≥1路MIC IN接口。</w:t>
            </w:r>
            <w:r>
              <w:br/>
            </w:r>
            <w:r>
              <w:rPr>
                <w:rFonts w:ascii="仿宋_GB2312" w:hAnsi="仿宋_GB2312" w:cs="仿宋_GB2312" w:eastAsia="仿宋_GB2312"/>
              </w:rPr>
              <w:t xml:space="preserve"> 12.USB接口：≥2路USB2.0接口。</w:t>
            </w:r>
            <w:r>
              <w:br/>
            </w:r>
            <w:r>
              <w:rPr>
                <w:rFonts w:ascii="仿宋_GB2312" w:hAnsi="仿宋_GB2312" w:cs="仿宋_GB2312" w:eastAsia="仿宋_GB2312"/>
              </w:rPr>
              <w:t xml:space="preserve"> 13.网络：≥1路100/10BASE-TX。</w:t>
            </w:r>
            <w:r>
              <w:br/>
            </w:r>
            <w:r>
              <w:rPr>
                <w:rFonts w:ascii="仿宋_GB2312" w:hAnsi="仿宋_GB2312" w:cs="仿宋_GB2312" w:eastAsia="仿宋_GB2312"/>
              </w:rPr>
              <w:t xml:space="preserve"> 14.支持7×24小时运行。</w:t>
            </w:r>
            <w:r>
              <w:br/>
            </w:r>
            <w:r>
              <w:rPr>
                <w:rFonts w:ascii="仿宋_GB2312" w:hAnsi="仿宋_GB2312" w:cs="仿宋_GB2312" w:eastAsia="仿宋_GB2312"/>
              </w:rPr>
              <w:t xml:space="preserve"> 15.为当事人提供使用的软件，当事人可通过互联网接入与法庭进行音视频及庭审数据的实时安全交互，提供案件信息查看、视频接入、远程签名等相关功能。</w:t>
            </w:r>
          </w:p>
        </w:tc>
      </w:tr>
      <w:tr>
        <w:tc>
          <w:tcPr>
            <w:tcW w:type="dxa" w:w="2769"/>
          </w:tcPr>
          <w:p>
            <w:pPr>
              <w:pStyle w:val="null3"/>
            </w:pPr>
            <w:r>
              <w:rPr>
                <w:rFonts w:ascii="仿宋_GB2312" w:hAnsi="仿宋_GB2312" w:cs="仿宋_GB2312" w:eastAsia="仿宋_GB2312"/>
              </w:rPr>
              <w:t>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互联网庭审短信云视频接入服务  3套</w:t>
            </w:r>
          </w:p>
          <w:p>
            <w:pPr>
              <w:pStyle w:val="null3"/>
            </w:pPr>
            <w:r>
              <w:rPr>
                <w:rFonts w:ascii="仿宋_GB2312" w:hAnsi="仿宋_GB2312" w:cs="仿宋_GB2312" w:eastAsia="仿宋_GB2312"/>
              </w:rPr>
              <w:t>向当事人提供短信消息通知或身份认证码确认服务，短信发送条数最小限量为10万条，；账号有效期内，庭审云消费时长最小限量为1050小时。</w:t>
            </w:r>
            <w:r>
              <w:br/>
            </w:r>
            <w:r>
              <w:rPr>
                <w:rFonts w:ascii="仿宋_GB2312" w:hAnsi="仿宋_GB2312" w:cs="仿宋_GB2312" w:eastAsia="仿宋_GB2312"/>
              </w:rPr>
              <w:t xml:space="preserve"> 1.在参与庭审中，客户端应能够禁用手机的自动锁屏功能。</w:t>
            </w:r>
            <w:r>
              <w:br/>
            </w:r>
            <w:r>
              <w:rPr>
                <w:rFonts w:ascii="仿宋_GB2312" w:hAnsi="仿宋_GB2312" w:cs="仿宋_GB2312" w:eastAsia="仿宋_GB2312"/>
              </w:rPr>
              <w:t xml:space="preserve"> 2、针对手机用户，应具备升级提示，运行时提示有新版本是否下载；</w:t>
            </w:r>
            <w:r>
              <w:br/>
            </w:r>
            <w:r>
              <w:rPr>
                <w:rFonts w:ascii="仿宋_GB2312" w:hAnsi="仿宋_GB2312" w:cs="仿宋_GB2312" w:eastAsia="仿宋_GB2312"/>
              </w:rPr>
              <w:t xml:space="preserve"> 3、客户端应支持输入立案时登记的身份证、手机号，正确地输入系统后台发送的动态验证码，进行登录。并且此用户近期有未开庭、正在开庭的案件时才能正确登录，否则会提示；</w:t>
            </w:r>
            <w:r>
              <w:br/>
            </w:r>
            <w:r>
              <w:rPr>
                <w:rFonts w:ascii="仿宋_GB2312" w:hAnsi="仿宋_GB2312" w:cs="仿宋_GB2312" w:eastAsia="仿宋_GB2312"/>
              </w:rPr>
              <w:t xml:space="preserve"> 4、用户登录后，客户端会根据用户庭审开庭情况，弹出提示，指引用户下一步操作：</w:t>
            </w:r>
            <w:r>
              <w:br/>
            </w:r>
            <w:r>
              <w:rPr>
                <w:rFonts w:ascii="仿宋_GB2312" w:hAnsi="仿宋_GB2312" w:cs="仿宋_GB2312" w:eastAsia="仿宋_GB2312"/>
              </w:rPr>
              <w:t xml:space="preserve"> （1）距开庭 20 分钟内登录：当用户登录时间在此范围内，会提示用户耐心等待，不要退出系统。等待法官开庭；</w:t>
            </w:r>
            <w:r>
              <w:br/>
            </w:r>
            <w:r>
              <w:rPr>
                <w:rFonts w:ascii="仿宋_GB2312" w:hAnsi="仿宋_GB2312" w:cs="仿宋_GB2312" w:eastAsia="仿宋_GB2312"/>
              </w:rPr>
              <w:t xml:space="preserve"> （2）庭审过程中登录：提示用户庭审已经开始，点击按钮申请进入庭审。如果用户此时不点击，也可以在案件详情中点击申请；</w:t>
            </w:r>
            <w:r>
              <w:br/>
            </w:r>
            <w:r>
              <w:rPr>
                <w:rFonts w:ascii="仿宋_GB2312" w:hAnsi="仿宋_GB2312" w:cs="仿宋_GB2312" w:eastAsia="仿宋_GB2312"/>
              </w:rPr>
              <w:t xml:space="preserve"> （3）距离开庭时间在 30 分钟以上登录：提示用户距离最近的一个庭审时间，并要在 30 分钟前登录系统；</w:t>
            </w:r>
            <w:r>
              <w:br/>
            </w:r>
            <w:r>
              <w:rPr>
                <w:rFonts w:ascii="仿宋_GB2312" w:hAnsi="仿宋_GB2312" w:cs="仿宋_GB2312" w:eastAsia="仿宋_GB2312"/>
              </w:rPr>
              <w:t xml:space="preserve"> 5、用户登录后，除了参加庭审，还应可以查看其待开庭的案件列表，可以点击案件列表，查看案件信息。能展示案号、主审人、当事人、开庭时间、庭审状态等主要信息；</w:t>
            </w:r>
            <w:r>
              <w:br/>
            </w:r>
            <w:r>
              <w:rPr>
                <w:rFonts w:ascii="仿宋_GB2312" w:hAnsi="仿宋_GB2312" w:cs="仿宋_GB2312" w:eastAsia="仿宋_GB2312"/>
              </w:rPr>
              <w:t xml:space="preserve"> 6、客户端应能够实时编码自己的图像和音视频，同时传送到法庭和其他当事人端；</w:t>
            </w:r>
            <w:r>
              <w:br/>
            </w:r>
            <w:r>
              <w:rPr>
                <w:rFonts w:ascii="仿宋_GB2312" w:hAnsi="仿宋_GB2312" w:cs="仿宋_GB2312" w:eastAsia="仿宋_GB2312"/>
              </w:rPr>
              <w:t xml:space="preserve"> 7、用户应能看到法庭、对方当事人、 自己的画面，能听到除自己以外的所有声音；</w:t>
            </w:r>
            <w:r>
              <w:br/>
            </w:r>
            <w:r>
              <w:rPr>
                <w:rFonts w:ascii="仿宋_GB2312" w:hAnsi="仿宋_GB2312" w:cs="仿宋_GB2312" w:eastAsia="仿宋_GB2312"/>
              </w:rPr>
              <w:t xml:space="preserve"> ▲8、提供该软件著作权证明文件；</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rPr>
              <w:t>数据存储服务  1套</w:t>
            </w:r>
          </w:p>
          <w:p>
            <w:pPr>
              <w:pStyle w:val="null3"/>
            </w:pPr>
            <w:r>
              <w:rPr>
                <w:rFonts w:ascii="仿宋_GB2312" w:hAnsi="仿宋_GB2312" w:cs="仿宋_GB2312" w:eastAsia="仿宋_GB2312"/>
              </w:rPr>
              <w:t>数据容量≥24TB，SATA 6Gb/s 高速接口，主轴转速 7200RPM；缓存≥256MB，企业级盘体方案，支持 7×24 小时不间断常年通电运行，MTBF 平均无故障工作时间≥2000000 小时，年度额定工作负载≥550TB；搭载多轴振动感应、整机抗震保护、端到端数据校验、智能故障纠错、异常掉电数据保护技术，有效适配多盘位服务器 RAID 阵列环境；提供原厂不少于 3 年全国联保售后服务，兼容主流 RAID 卡与机架式服务器。</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rPr>
              <w:t>庭审发言设备  18套</w:t>
            </w:r>
          </w:p>
          <w:p>
            <w:pPr>
              <w:pStyle w:val="null3"/>
            </w:pPr>
            <w:r>
              <w:rPr>
                <w:rFonts w:ascii="仿宋_GB2312" w:hAnsi="仿宋_GB2312" w:cs="仿宋_GB2312" w:eastAsia="仿宋_GB2312"/>
              </w:rPr>
              <w:t xml:space="preserve">功能物点: </w:t>
            </w:r>
            <w:r>
              <w:br/>
            </w:r>
            <w:r>
              <w:rPr>
                <w:rFonts w:ascii="仿宋_GB2312" w:hAnsi="仿宋_GB2312" w:cs="仿宋_GB2312" w:eastAsia="仿宋_GB2312"/>
              </w:rPr>
              <w:t xml:space="preserve"> 卓越可靠的性能. 优质的电容咪芯部件提供了高灵敏度的拾音效果, 人声清晰明亮. 话筒按键带灯显示. 可采用48V、和电池供电方式. </w:t>
            </w:r>
            <w:r>
              <w:br/>
            </w:r>
            <w:r>
              <w:rPr>
                <w:rFonts w:ascii="仿宋_GB2312" w:hAnsi="仿宋_GB2312" w:cs="仿宋_GB2312" w:eastAsia="仿宋_GB2312"/>
              </w:rPr>
              <w:t xml:space="preserve"> 参数指标: </w:t>
            </w:r>
            <w:r>
              <w:br/>
            </w:r>
            <w:r>
              <w:rPr>
                <w:rFonts w:ascii="仿宋_GB2312" w:hAnsi="仿宋_GB2312" w:cs="仿宋_GB2312" w:eastAsia="仿宋_GB2312"/>
              </w:rPr>
              <w:t xml:space="preserve"> 1.换能方式：电容式 </w:t>
            </w:r>
            <w:r>
              <w:br/>
            </w:r>
            <w:r>
              <w:rPr>
                <w:rFonts w:ascii="仿宋_GB2312" w:hAnsi="仿宋_GB2312" w:cs="仿宋_GB2312" w:eastAsia="仿宋_GB2312"/>
              </w:rPr>
              <w:t xml:space="preserve"> 2.频率响应：≥20Hz-20kHz </w:t>
            </w:r>
            <w:r>
              <w:br/>
            </w:r>
            <w:r>
              <w:rPr>
                <w:rFonts w:ascii="仿宋_GB2312" w:hAnsi="仿宋_GB2312" w:cs="仿宋_GB2312" w:eastAsia="仿宋_GB2312"/>
              </w:rPr>
              <w:t xml:space="preserve"> 3.指向性：超心型向性 </w:t>
            </w:r>
            <w:r>
              <w:br/>
            </w:r>
            <w:r>
              <w:rPr>
                <w:rFonts w:ascii="仿宋_GB2312" w:hAnsi="仿宋_GB2312" w:cs="仿宋_GB2312" w:eastAsia="仿宋_GB2312"/>
              </w:rPr>
              <w:t xml:space="preserve"> 4.输出阻抗（欧姆）：≥200Ω </w:t>
            </w:r>
            <w:r>
              <w:br/>
            </w:r>
            <w:r>
              <w:rPr>
                <w:rFonts w:ascii="仿宋_GB2312" w:hAnsi="仿宋_GB2312" w:cs="仿宋_GB2312" w:eastAsia="仿宋_GB2312"/>
              </w:rPr>
              <w:t xml:space="preserve"> 5.灵敏度：≥-42dB±2 dB </w:t>
            </w:r>
            <w:r>
              <w:br/>
            </w:r>
            <w:r>
              <w:rPr>
                <w:rFonts w:ascii="仿宋_GB2312" w:hAnsi="仿宋_GB2312" w:cs="仿宋_GB2312" w:eastAsia="仿宋_GB2312"/>
              </w:rPr>
              <w:t xml:space="preserve"> 6.最高输入音量：≥118dB 声压 </w:t>
            </w:r>
            <w:r>
              <w:br/>
            </w:r>
            <w:r>
              <w:rPr>
                <w:rFonts w:ascii="仿宋_GB2312" w:hAnsi="仿宋_GB2312" w:cs="仿宋_GB2312" w:eastAsia="仿宋_GB2312"/>
              </w:rPr>
              <w:t xml:space="preserve"> 7.讯噪比：≥65 dB 8.</w:t>
            </w:r>
            <w:r>
              <w:br/>
            </w:r>
            <w:r>
              <w:rPr>
                <w:rFonts w:ascii="仿宋_GB2312" w:hAnsi="仿宋_GB2312" w:cs="仿宋_GB2312" w:eastAsia="仿宋_GB2312"/>
              </w:rPr>
              <w:t xml:space="preserve"> 8.供电电压：≥直流3V/幻象48V（幻象指既传输电流，也传输声音） </w:t>
            </w:r>
            <w:r>
              <w:br/>
            </w:r>
            <w:r>
              <w:rPr>
                <w:rFonts w:ascii="仿宋_GB2312" w:hAnsi="仿宋_GB2312" w:cs="仿宋_GB2312" w:eastAsia="仿宋_GB2312"/>
              </w:rPr>
              <w:t xml:space="preserve"> 9.咪管长度：≥420mm </w:t>
            </w:r>
            <w:r>
              <w:br/>
            </w:r>
            <w:r>
              <w:rPr>
                <w:rFonts w:ascii="仿宋_GB2312" w:hAnsi="仿宋_GB2312" w:cs="仿宋_GB2312" w:eastAsia="仿宋_GB2312"/>
              </w:rPr>
              <w:t xml:space="preserve"> 10.单支话筒重量：≥0.45kg </w:t>
            </w:r>
            <w:r>
              <w:br/>
            </w:r>
            <w:r>
              <w:rPr>
                <w:rFonts w:ascii="仿宋_GB2312" w:hAnsi="仿宋_GB2312" w:cs="仿宋_GB2312" w:eastAsia="仿宋_GB2312"/>
              </w:rPr>
              <w:t xml:space="preserve"> 抗手机、电磁、高频干扰</w:t>
            </w:r>
            <w:r>
              <w:br/>
            </w:r>
            <w:r>
              <w:rPr>
                <w:rFonts w:ascii="仿宋_GB2312" w:hAnsi="仿宋_GB2312" w:cs="仿宋_GB2312" w:eastAsia="仿宋_GB2312"/>
              </w:rPr>
              <w:t xml:space="preserve"> 11.使用时间(碱性电池):大功率时约≥8小时</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rPr>
              <w:t>法庭音频功放  3台</w:t>
            </w:r>
          </w:p>
          <w:p>
            <w:pPr>
              <w:pStyle w:val="null3"/>
            </w:pPr>
            <w:r>
              <w:rPr>
                <w:rFonts w:ascii="仿宋_GB2312" w:hAnsi="仿宋_GB2312" w:cs="仿宋_GB2312" w:eastAsia="仿宋_GB2312"/>
              </w:rPr>
              <w:t>功能特点：</w:t>
            </w:r>
            <w:r>
              <w:br/>
            </w:r>
            <w:r>
              <w:rPr>
                <w:rFonts w:ascii="仿宋_GB2312" w:hAnsi="仿宋_GB2312" w:cs="仿宋_GB2312" w:eastAsia="仿宋_GB2312"/>
              </w:rPr>
              <w:t xml:space="preserve"> 智能控制强制散热设计，风机噪音小，散热效率高等特点；</w:t>
            </w:r>
            <w:r>
              <w:br/>
            </w:r>
            <w:r>
              <w:rPr>
                <w:rFonts w:ascii="仿宋_GB2312" w:hAnsi="仿宋_GB2312" w:cs="仿宋_GB2312" w:eastAsia="仿宋_GB2312"/>
              </w:rPr>
              <w:t xml:space="preserve"> 内置智能压限系统，控制功率模块及扬声器系统在安全范围内工作；</w:t>
            </w:r>
            <w:r>
              <w:br/>
            </w:r>
            <w:r>
              <w:rPr>
                <w:rFonts w:ascii="仿宋_GB2312" w:hAnsi="仿宋_GB2312" w:cs="仿宋_GB2312" w:eastAsia="仿宋_GB2312"/>
              </w:rPr>
              <w:t xml:space="preserve"> 内置30Hz高通滤波器；</w:t>
            </w:r>
            <w:r>
              <w:br/>
            </w:r>
            <w:r>
              <w:rPr>
                <w:rFonts w:ascii="仿宋_GB2312" w:hAnsi="仿宋_GB2312" w:cs="仿宋_GB2312" w:eastAsia="仿宋_GB2312"/>
              </w:rPr>
              <w:t xml:space="preserve"> 多种模式选择：立体声、桥接、单声道；</w:t>
            </w:r>
            <w:r>
              <w:br/>
            </w:r>
            <w:r>
              <w:rPr>
                <w:rFonts w:ascii="仿宋_GB2312" w:hAnsi="仿宋_GB2312" w:cs="仿宋_GB2312" w:eastAsia="仿宋_GB2312"/>
              </w:rPr>
              <w:t xml:space="preserve"> 多种保护和警告功能：温度保护、过载保护、短路保护；</w:t>
            </w:r>
            <w:r>
              <w:br/>
            </w:r>
            <w:r>
              <w:rPr>
                <w:rFonts w:ascii="仿宋_GB2312" w:hAnsi="仿宋_GB2312" w:cs="仿宋_GB2312" w:eastAsia="仿宋_GB2312"/>
              </w:rPr>
              <w:t xml:space="preserve"> 超强负载自适应功能，负载从 1-16 欧任意变化时，内部 CPU 通过浮点运算，自动调整功放模式，使输出稳定;</w:t>
            </w:r>
            <w:r>
              <w:br/>
            </w:r>
            <w:r>
              <w:rPr>
                <w:rFonts w:ascii="仿宋_GB2312" w:hAnsi="仿宋_GB2312" w:cs="仿宋_GB2312" w:eastAsia="仿宋_GB2312"/>
              </w:rPr>
              <w:t xml:space="preserve"> 接地选择：悬空、接地；</w:t>
            </w:r>
            <w:r>
              <w:br/>
            </w:r>
            <w:r>
              <w:rPr>
                <w:rFonts w:ascii="仿宋_GB2312" w:hAnsi="仿宋_GB2312" w:cs="仿宋_GB2312" w:eastAsia="仿宋_GB2312"/>
              </w:rPr>
              <w:t xml:space="preserve"> 技术参数：</w:t>
            </w:r>
            <w:r>
              <w:br/>
            </w:r>
            <w:r>
              <w:rPr>
                <w:rFonts w:ascii="仿宋_GB2312" w:hAnsi="仿宋_GB2312" w:cs="仿宋_GB2312" w:eastAsia="仿宋_GB2312"/>
              </w:rPr>
              <w:t xml:space="preserve"> 1.立体声功率：8Ω400W*2，4Ω600W*2</w:t>
            </w:r>
            <w:r>
              <w:br/>
            </w:r>
            <w:r>
              <w:rPr>
                <w:rFonts w:ascii="仿宋_GB2312" w:hAnsi="仿宋_GB2312" w:cs="仿宋_GB2312" w:eastAsia="仿宋_GB2312"/>
              </w:rPr>
              <w:t xml:space="preserve"> 2.8Ω桥接功率:600W</w:t>
            </w:r>
            <w:r>
              <w:br/>
            </w:r>
            <w:r>
              <w:rPr>
                <w:rFonts w:ascii="仿宋_GB2312" w:hAnsi="仿宋_GB2312" w:cs="仿宋_GB2312" w:eastAsia="仿宋_GB2312"/>
              </w:rPr>
              <w:t xml:space="preserve"> 3.信噪比：105dB</w:t>
            </w:r>
            <w:r>
              <w:br/>
            </w:r>
            <w:r>
              <w:rPr>
                <w:rFonts w:ascii="仿宋_GB2312" w:hAnsi="仿宋_GB2312" w:cs="仿宋_GB2312" w:eastAsia="仿宋_GB2312"/>
              </w:rPr>
              <w:t xml:space="preserve"> 4.转换速率：60V/us</w:t>
            </w:r>
            <w:r>
              <w:br/>
            </w:r>
            <w:r>
              <w:rPr>
                <w:rFonts w:ascii="仿宋_GB2312" w:hAnsi="仿宋_GB2312" w:cs="仿宋_GB2312" w:eastAsia="仿宋_GB2312"/>
              </w:rPr>
              <w:t xml:space="preserve"> 5.阻尼系数：450：1</w:t>
            </w:r>
            <w:r>
              <w:br/>
            </w:r>
            <w:r>
              <w:rPr>
                <w:rFonts w:ascii="仿宋_GB2312" w:hAnsi="仿宋_GB2312" w:cs="仿宋_GB2312" w:eastAsia="仿宋_GB2312"/>
              </w:rPr>
              <w:t xml:space="preserve"> 6.THD:0.05%</w:t>
            </w:r>
            <w:r>
              <w:br/>
            </w:r>
            <w:r>
              <w:rPr>
                <w:rFonts w:ascii="仿宋_GB2312" w:hAnsi="仿宋_GB2312" w:cs="仿宋_GB2312" w:eastAsia="仿宋_GB2312"/>
              </w:rPr>
              <w:t xml:space="preserve"> 7.频率响应：20Hz-20KHz(±0.5dB)</w:t>
            </w:r>
            <w:r>
              <w:br/>
            </w:r>
            <w:r>
              <w:rPr>
                <w:rFonts w:ascii="仿宋_GB2312" w:hAnsi="仿宋_GB2312" w:cs="仿宋_GB2312" w:eastAsia="仿宋_GB2312"/>
              </w:rPr>
              <w:t xml:space="preserve"> 8.输入灵敏度：0.775V</w:t>
            </w:r>
            <w:r>
              <w:br/>
            </w:r>
            <w:r>
              <w:rPr>
                <w:rFonts w:ascii="仿宋_GB2312" w:hAnsi="仿宋_GB2312" w:cs="仿宋_GB2312" w:eastAsia="仿宋_GB2312"/>
              </w:rPr>
              <w:t xml:space="preserve"> 9.输入阻抗：10K ohms-20K ohms</w:t>
            </w:r>
            <w:r>
              <w:br/>
            </w:r>
            <w:r>
              <w:rPr>
                <w:rFonts w:ascii="仿宋_GB2312" w:hAnsi="仿宋_GB2312" w:cs="仿宋_GB2312" w:eastAsia="仿宋_GB2312"/>
              </w:rPr>
              <w:t xml:space="preserve"> 10.面板指示灯:Signal，dctive，clip/limiting</w:t>
            </w:r>
            <w:r>
              <w:br/>
            </w:r>
            <w:r>
              <w:rPr>
                <w:rFonts w:ascii="仿宋_GB2312" w:hAnsi="仿宋_GB2312" w:cs="仿宋_GB2312" w:eastAsia="仿宋_GB2312"/>
              </w:rPr>
              <w:t xml:space="preserve"> 11.电源：220V，50/60z</w:t>
            </w:r>
            <w:r>
              <w:br/>
            </w:r>
            <w:r>
              <w:rPr>
                <w:rFonts w:ascii="仿宋_GB2312" w:hAnsi="仿宋_GB2312" w:cs="仿宋_GB2312" w:eastAsia="仿宋_GB2312"/>
              </w:rPr>
              <w:t xml:space="preserve"> 12.电源消耗功率：4500W</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rPr>
              <w:t>法庭音频服务  6只</w:t>
            </w:r>
          </w:p>
          <w:p>
            <w:pPr>
              <w:pStyle w:val="null3"/>
            </w:pPr>
            <w:r>
              <w:rPr>
                <w:rFonts w:ascii="仿宋_GB2312" w:hAnsi="仿宋_GB2312" w:cs="仿宋_GB2312" w:eastAsia="仿宋_GB2312"/>
              </w:rPr>
              <w:t>功能特点：</w:t>
            </w:r>
            <w:r>
              <w:br/>
            </w:r>
            <w:r>
              <w:rPr>
                <w:rFonts w:ascii="仿宋_GB2312" w:hAnsi="仿宋_GB2312" w:cs="仿宋_GB2312" w:eastAsia="仿宋_GB2312"/>
              </w:rPr>
              <w:t xml:space="preserve"> 1.此系列扬声器应用特制结构，优化驱动器工作环境，从而让声音还原更为自然，人声更为突出；</w:t>
            </w:r>
            <w:r>
              <w:br/>
            </w:r>
            <w:r>
              <w:rPr>
                <w:rFonts w:ascii="仿宋_GB2312" w:hAnsi="仿宋_GB2312" w:cs="仿宋_GB2312" w:eastAsia="仿宋_GB2312"/>
              </w:rPr>
              <w:t xml:space="preserve"> 2.紧凑型箱体设计，喷涂环保点漆，夹板材质，外观精美。</w:t>
            </w:r>
            <w:r>
              <w:br/>
            </w:r>
            <w:r>
              <w:rPr>
                <w:rFonts w:ascii="仿宋_GB2312" w:hAnsi="仿宋_GB2312" w:cs="仿宋_GB2312" w:eastAsia="仿宋_GB2312"/>
              </w:rPr>
              <w:t xml:space="preserve"> 3.两分频设计，精心调试的分频器，采用高保真电容，高频细节更为细腻；</w:t>
            </w:r>
            <w:r>
              <w:br/>
            </w:r>
            <w:r>
              <w:rPr>
                <w:rFonts w:ascii="仿宋_GB2312" w:hAnsi="仿宋_GB2312" w:cs="仿宋_GB2312" w:eastAsia="仿宋_GB2312"/>
              </w:rPr>
              <w:t xml:space="preserve"> 4.铁质喷粉1.5mm多孔黑色防尘网，提供出色的保护作用，让音箱外观更为细致</w:t>
            </w:r>
            <w:r>
              <w:br/>
            </w:r>
            <w:r>
              <w:rPr>
                <w:rFonts w:ascii="仿宋_GB2312" w:hAnsi="仿宋_GB2312" w:cs="仿宋_GB2312" w:eastAsia="仿宋_GB2312"/>
              </w:rPr>
              <w:t xml:space="preserve"> 5.宽角度指向设计，频响均匀平滑，声音更好；</w:t>
            </w:r>
            <w:r>
              <w:br/>
            </w:r>
            <w:r>
              <w:rPr>
                <w:rFonts w:ascii="仿宋_GB2312" w:hAnsi="仿宋_GB2312" w:cs="仿宋_GB2312" w:eastAsia="仿宋_GB2312"/>
              </w:rPr>
              <w:t xml:space="preserve"> 6.人性化吊点，安装简便。</w:t>
            </w:r>
            <w:r>
              <w:br/>
            </w:r>
            <w:r>
              <w:rPr>
                <w:rFonts w:ascii="仿宋_GB2312" w:hAnsi="仿宋_GB2312" w:cs="仿宋_GB2312" w:eastAsia="仿宋_GB2312"/>
              </w:rPr>
              <w:t xml:space="preserve"> 灵敏度:92dB；最大声压级:102dB；额定功率:150W；峰值功率:300W</w:t>
            </w:r>
            <w:r>
              <w:br/>
            </w:r>
            <w:r>
              <w:rPr>
                <w:rFonts w:ascii="仿宋_GB2312" w:hAnsi="仿宋_GB2312" w:cs="仿宋_GB2312" w:eastAsia="仿宋_GB2312"/>
              </w:rPr>
              <w:t xml:space="preserve"> 最大声压:100dB；低频参数:70磁25芯泡边；高频:55磁14芯箱体材质:；高密度 中钎板12Mm；表面处理:黑色水性漆</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rPr>
              <w:t>高清自动音视频采集系统  12 台</w:t>
            </w:r>
          </w:p>
          <w:p>
            <w:pPr>
              <w:pStyle w:val="null3"/>
            </w:pPr>
            <w:r>
              <w:rPr>
                <w:rFonts w:ascii="仿宋_GB2312" w:hAnsi="仿宋_GB2312" w:cs="仿宋_GB2312" w:eastAsia="仿宋_GB2312"/>
              </w:rPr>
              <w:t>智能教学跟踪：内置领先的图像识别与跟踪算法，无需任何辅助定位摄像机或者跟踪主机，也可实现对目标快、稳、准的跟踪；</w:t>
            </w:r>
            <w:r>
              <w:br/>
            </w:r>
            <w:r>
              <w:rPr>
                <w:rFonts w:ascii="仿宋_GB2312" w:hAnsi="仿宋_GB2312" w:cs="仿宋_GB2312" w:eastAsia="仿宋_GB2312"/>
              </w:rPr>
              <w:t xml:space="preserve"> 抗干扰能力强：更多更灵活的识别屏蔽区设置，使得跟踪目标一旦锁定，不受其它运动目标或投影仪等干扰的影响；</w:t>
            </w:r>
            <w:r>
              <w:br/>
            </w:r>
            <w:r>
              <w:rPr>
                <w:rFonts w:ascii="仿宋_GB2312" w:hAnsi="仿宋_GB2312" w:cs="仿宋_GB2312" w:eastAsia="仿宋_GB2312"/>
              </w:rPr>
              <w:t xml:space="preserve"> 跟踪平稳：动作灵敏度可调节，跟踪目标小幅移动以及手部等动作不会造成摄像机的误操作；</w:t>
            </w:r>
            <w:r>
              <w:br/>
            </w:r>
            <w:r>
              <w:rPr>
                <w:rFonts w:ascii="仿宋_GB2312" w:hAnsi="仿宋_GB2312" w:cs="仿宋_GB2312" w:eastAsia="仿宋_GB2312"/>
              </w:rPr>
              <w:t xml:space="preserve"> 环境适应性强：跟踪效果不受教室大小、形状和座席布置的影响；</w:t>
            </w:r>
            <w:r>
              <w:br/>
            </w:r>
            <w:r>
              <w:rPr>
                <w:rFonts w:ascii="仿宋_GB2312" w:hAnsi="仿宋_GB2312" w:cs="仿宋_GB2312" w:eastAsia="仿宋_GB2312"/>
              </w:rPr>
              <w:t xml:space="preserve"> 超宽动态曝光功能：避免了投影仪等强光背景下跟踪目标变暗的问题；</w:t>
            </w:r>
            <w:r>
              <w:br/>
            </w:r>
            <w:r>
              <w:rPr>
                <w:rFonts w:ascii="仿宋_GB2312" w:hAnsi="仿宋_GB2312" w:cs="仿宋_GB2312" w:eastAsia="仿宋_GB2312"/>
              </w:rPr>
              <w:t xml:space="preserve"> 多种跟踪模式：支持实时跟踪、电影、区域跟踪多种跟踪模式切换；</w:t>
            </w:r>
            <w:r>
              <w:br/>
            </w:r>
            <w:r>
              <w:rPr>
                <w:rFonts w:ascii="仿宋_GB2312" w:hAnsi="仿宋_GB2312" w:cs="仿宋_GB2312" w:eastAsia="仿宋_GB2312"/>
              </w:rPr>
              <w:t xml:space="preserve"> 超高清：采用1/2.8英寸高品质4K CMOS传感器，呈现清晰逼真的超高清视频，生动的展现人物的表情和动作；</w:t>
            </w:r>
            <w:r>
              <w:br/>
            </w:r>
            <w:r>
              <w:rPr>
                <w:rFonts w:ascii="仿宋_GB2312" w:hAnsi="仿宋_GB2312" w:cs="仿宋_GB2312" w:eastAsia="仿宋_GB2312"/>
              </w:rPr>
              <w:t xml:space="preserve"> 无畸变镜头：采用超无畸变4K镜头，支持3倍电子变倍，同时支持ePTZ控制；</w:t>
            </w:r>
            <w:r>
              <w:br/>
            </w:r>
            <w:r>
              <w:rPr>
                <w:rFonts w:ascii="仿宋_GB2312" w:hAnsi="仿宋_GB2312" w:cs="仿宋_GB2312" w:eastAsia="仿宋_GB2312"/>
              </w:rPr>
              <w:t xml:space="preserve"> 低噪声高信噪比：低噪声CMOS有效地保证了摄像机视频的超高信噪比，即便在超低照度情况下，依然保持画面干净清晰；</w:t>
            </w:r>
            <w:r>
              <w:br/>
            </w:r>
            <w:r>
              <w:rPr>
                <w:rFonts w:ascii="仿宋_GB2312" w:hAnsi="仿宋_GB2312" w:cs="仿宋_GB2312" w:eastAsia="仿宋_GB2312"/>
              </w:rPr>
              <w:t xml:space="preserve"> 支持多码流输出：支持五码流，同时输出特写主码流、特写子码流、全景主码流、全景子码流和导播码流； </w:t>
            </w:r>
            <w:r>
              <w:br/>
            </w:r>
            <w:r>
              <w:rPr>
                <w:rFonts w:ascii="仿宋_GB2312" w:hAnsi="仿宋_GB2312" w:cs="仿宋_GB2312" w:eastAsia="仿宋_GB2312"/>
              </w:rPr>
              <w:t xml:space="preserve"> 支持PoE：即一条网线同时实现传输供电、控制、视频信号，从而简化接线安装；</w:t>
            </w:r>
            <w:r>
              <w:br/>
            </w:r>
            <w:r>
              <w:rPr>
                <w:rFonts w:ascii="仿宋_GB2312" w:hAnsi="仿宋_GB2312" w:cs="仿宋_GB2312" w:eastAsia="仿宋_GB2312"/>
              </w:rPr>
              <w:t xml:space="preserve"> 安装多样化：自由选择安装定位，支持正装和倒装安装方式； </w:t>
            </w:r>
            <w:r>
              <w:br/>
            </w:r>
            <w:r>
              <w:rPr>
                <w:rFonts w:ascii="仿宋_GB2312" w:hAnsi="仿宋_GB2312" w:cs="仿宋_GB2312" w:eastAsia="仿宋_GB2312"/>
              </w:rPr>
              <w:t xml:space="preserve"> 控制接口网络化：产品的控制信息实现网络化传输，满足各种场景的产品连接布署；</w:t>
            </w:r>
            <w:r>
              <w:br/>
            </w:r>
            <w:r>
              <w:rPr>
                <w:rFonts w:ascii="仿宋_GB2312" w:hAnsi="仿宋_GB2312" w:cs="仿宋_GB2312" w:eastAsia="仿宋_GB2312"/>
              </w:rPr>
              <w:t xml:space="preserve"> 应用场所多：教学录播、智慧庭审、远程互动教学等多应用场景。</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rPr>
              <w:t>打印服务  3台</w:t>
            </w:r>
          </w:p>
          <w:p>
            <w:pPr>
              <w:pStyle w:val="null3"/>
            </w:pPr>
            <w:r>
              <w:rPr>
                <w:rFonts w:ascii="仿宋_GB2312" w:hAnsi="仿宋_GB2312" w:cs="仿宋_GB2312" w:eastAsia="仿宋_GB2312"/>
              </w:rPr>
              <w:t xml:space="preserve">国产品牌 </w:t>
            </w:r>
            <w:r>
              <w:br/>
            </w:r>
            <w:r>
              <w:rPr>
                <w:rFonts w:ascii="仿宋_GB2312" w:hAnsi="仿宋_GB2312" w:cs="仿宋_GB2312" w:eastAsia="仿宋_GB2312"/>
              </w:rPr>
              <w:t xml:space="preserve"> 基本要求：</w:t>
            </w:r>
            <w:r>
              <w:br/>
            </w:r>
            <w:r>
              <w:rPr>
                <w:rFonts w:ascii="仿宋_GB2312" w:hAnsi="仿宋_GB2312" w:cs="仿宋_GB2312" w:eastAsia="仿宋_GB2312"/>
              </w:rPr>
              <w:t xml:space="preserve"> A4幅面；打印、复印、扫描一体机；</w:t>
            </w:r>
            <w:r>
              <w:br/>
            </w:r>
            <w:r>
              <w:rPr>
                <w:rFonts w:ascii="仿宋_GB2312" w:hAnsi="仿宋_GB2312" w:cs="仿宋_GB2312" w:eastAsia="仿宋_GB2312"/>
              </w:rPr>
              <w:t xml:space="preserve"> 功能要求：</w:t>
            </w:r>
            <w:r>
              <w:br/>
            </w:r>
            <w:r>
              <w:rPr>
                <w:rFonts w:ascii="仿宋_GB2312" w:hAnsi="仿宋_GB2312" w:cs="仿宋_GB2312" w:eastAsia="仿宋_GB2312"/>
              </w:rPr>
              <w:t xml:space="preserve"> 具备文字文档打印、图文打印、份数设置、范围设置、边距设置、缩放打印设置、打印队列管理等基本功能，支持彩色扫描、打印/复印，自动双面打印、网络打印、PC端打印状态监控、平板稿台和⾃动进纸器复印/扫描。 </w:t>
            </w:r>
            <w:r>
              <w:br/>
            </w:r>
            <w:r>
              <w:rPr>
                <w:rFonts w:ascii="仿宋_GB2312" w:hAnsi="仿宋_GB2312" w:cs="仿宋_GB2312" w:eastAsia="仿宋_GB2312"/>
              </w:rPr>
              <w:t xml:space="preserve"> 性能要求：</w:t>
            </w:r>
            <w:r>
              <w:br/>
            </w:r>
            <w:r>
              <w:rPr>
                <w:rFonts w:ascii="仿宋_GB2312" w:hAnsi="仿宋_GB2312" w:cs="仿宋_GB2312" w:eastAsia="仿宋_GB2312"/>
              </w:rPr>
              <w:t xml:space="preserve"> 打印速度：≥30/分钟； </w:t>
            </w:r>
            <w:r>
              <w:br/>
            </w:r>
            <w:r>
              <w:rPr>
                <w:rFonts w:ascii="仿宋_GB2312" w:hAnsi="仿宋_GB2312" w:cs="仿宋_GB2312" w:eastAsia="仿宋_GB2312"/>
              </w:rPr>
              <w:t xml:space="preserve"> 内存：≥256MB；</w:t>
            </w:r>
            <w:r>
              <w:br/>
            </w:r>
            <w:r>
              <w:rPr>
                <w:rFonts w:ascii="仿宋_GB2312" w:hAnsi="仿宋_GB2312" w:cs="仿宋_GB2312" w:eastAsia="仿宋_GB2312"/>
              </w:rPr>
              <w:t xml:space="preserve"> 自动双面打印：标配；</w:t>
            </w:r>
            <w:r>
              <w:br/>
            </w:r>
            <w:r>
              <w:rPr>
                <w:rFonts w:ascii="仿宋_GB2312" w:hAnsi="仿宋_GB2312" w:cs="仿宋_GB2312" w:eastAsia="仿宋_GB2312"/>
              </w:rPr>
              <w:t xml:space="preserve"> 网络打印：标配</w:t>
            </w:r>
            <w:r>
              <w:br/>
            </w:r>
            <w:r>
              <w:rPr>
                <w:rFonts w:ascii="仿宋_GB2312" w:hAnsi="仿宋_GB2312" w:cs="仿宋_GB2312" w:eastAsia="仿宋_GB2312"/>
              </w:rPr>
              <w:t xml:space="preserve"> 鼓粉分离耗材模式；</w:t>
            </w:r>
            <w:r>
              <w:br/>
            </w:r>
            <w:r>
              <w:rPr>
                <w:rFonts w:ascii="仿宋_GB2312" w:hAnsi="仿宋_GB2312" w:cs="仿宋_GB2312" w:eastAsia="仿宋_GB2312"/>
              </w:rPr>
              <w:t xml:space="preserve"> 标配纸盒容量≥250，输稿器容量≥40； 支持纸张克重最⾼⽀持220g，最低支持60g； </w:t>
            </w:r>
            <w:r>
              <w:br/>
            </w:r>
            <w:r>
              <w:rPr>
                <w:rFonts w:ascii="仿宋_GB2312" w:hAnsi="仿宋_GB2312" w:cs="仿宋_GB2312" w:eastAsia="仿宋_GB2312"/>
              </w:rPr>
              <w:t xml:space="preserve"> 兼容性要求：支持Windows和Linux国产操作系统，如统信、麒麟、中科方德操作系统；</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pPr>
            <w:r>
              <w:rPr>
                <w:rFonts w:ascii="仿宋_GB2312" w:hAnsi="仿宋_GB2312" w:cs="仿宋_GB2312" w:eastAsia="仿宋_GB2312"/>
              </w:rPr>
              <w:t>庭审公告系统   3套</w:t>
            </w:r>
          </w:p>
          <w:p>
            <w:pPr>
              <w:pStyle w:val="null3"/>
            </w:pPr>
            <w:r>
              <w:rPr>
                <w:rFonts w:ascii="仿宋_GB2312" w:hAnsi="仿宋_GB2312" w:cs="仿宋_GB2312" w:eastAsia="仿宋_GB2312"/>
              </w:rPr>
              <w:t>数字法庭开庭公告显示系统软件。适用于法庭外，具有公告展示、语音呼叫等功能。 提供当前法庭的庭审信息，包括法庭名称、承办人等案件信息； 提供显示法庭当前正在开庭案件信息内容以及后续排期等情况的。 开庭状态、呼叫信息变更后终端刷新时延≤1秒，服务端与客户端通讯数据采用加密传输。 系统可7×24小时不间断稳定运行；终端断电重启后程序自动启动，链路中断时屏幕自动弹出异常故障提示。 含不小于21.5寸显示屏，安卓系统，含安装支架。</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pPr>
            <w:r>
              <w:rPr>
                <w:rFonts w:ascii="仿宋_GB2312" w:hAnsi="仿宋_GB2312" w:cs="仿宋_GB2312" w:eastAsia="仿宋_GB2312"/>
              </w:rPr>
              <w:t>信息展示终端  12台</w:t>
            </w:r>
          </w:p>
          <w:p>
            <w:pPr>
              <w:pStyle w:val="null3"/>
            </w:pPr>
            <w:r>
              <w:rPr>
                <w:rFonts w:ascii="仿宋_GB2312" w:hAnsi="仿宋_GB2312" w:cs="仿宋_GB2312" w:eastAsia="仿宋_GB2312"/>
              </w:rPr>
              <w:t>1 屏幕尺寸：可视区域23.8英寸，16:9宽屏，直面液晶显示器，LED背光</w:t>
            </w:r>
            <w:r>
              <w:br/>
            </w:r>
            <w:r>
              <w:rPr>
                <w:rFonts w:ascii="仿宋_GB2312" w:hAnsi="仿宋_GB2312" w:cs="仿宋_GB2312" w:eastAsia="仿宋_GB2312"/>
              </w:rPr>
              <w:t xml:space="preserve"> 2 物理分辨率：最佳分辨率≥1920×1080（全高清FHD）</w:t>
            </w:r>
            <w:r>
              <w:br/>
            </w:r>
            <w:r>
              <w:rPr>
                <w:rFonts w:ascii="仿宋_GB2312" w:hAnsi="仿宋_GB2312" w:cs="仿宋_GB2312" w:eastAsia="仿宋_GB2312"/>
              </w:rPr>
              <w:t xml:space="preserve"> 3 刷新率：屏幕刷新率≥100Hz，有效改善网页、文档拖动拖影问题</w:t>
            </w:r>
            <w:r>
              <w:br/>
            </w:r>
            <w:r>
              <w:rPr>
                <w:rFonts w:ascii="仿宋_GB2312" w:hAnsi="仿宋_GB2312" w:cs="仿宋_GB2312" w:eastAsia="仿宋_GB2312"/>
              </w:rPr>
              <w:t xml:space="preserve"> 4 亮度：典型亮度≥250cd/㎡，满足日常办公采光环境使用</w:t>
            </w:r>
            <w:r>
              <w:br/>
            </w:r>
            <w:r>
              <w:rPr>
                <w:rFonts w:ascii="仿宋_GB2312" w:hAnsi="仿宋_GB2312" w:cs="仿宋_GB2312" w:eastAsia="仿宋_GB2312"/>
              </w:rPr>
              <w:t xml:space="preserve"> 5 可视角度：水平、垂直可视角度≥178°(CR≥10)，多角度观看无明显偏色发白</w:t>
            </w:r>
            <w:r>
              <w:br/>
            </w:r>
            <w:r>
              <w:rPr>
                <w:rFonts w:ascii="仿宋_GB2312" w:hAnsi="仿宋_GB2312" w:cs="仿宋_GB2312" w:eastAsia="仿宋_GB2312"/>
              </w:rPr>
              <w:t xml:space="preserve"> 6 色彩参数：色深≥8bit，色彩数量≥1670万色，画面色彩过渡均匀无断层；灰阶响应时间≤6ms</w:t>
            </w:r>
            <w:r>
              <w:br/>
            </w:r>
            <w:r>
              <w:rPr>
                <w:rFonts w:ascii="仿宋_GB2312" w:hAnsi="仿宋_GB2312" w:cs="仿宋_GB2312" w:eastAsia="仿宋_GB2312"/>
              </w:rPr>
              <w:t xml:space="preserve"> 7 护眼技术：硬件低蓝光护眼，支持多档位蓝光调节；全亮度DC直流无频闪调光，降低长时间办公用眼疲劳</w:t>
            </w:r>
            <w:r>
              <w:br/>
            </w:r>
            <w:r>
              <w:rPr>
                <w:rFonts w:ascii="仿宋_GB2312" w:hAnsi="仿宋_GB2312" w:cs="仿宋_GB2312" w:eastAsia="仿宋_GB2312"/>
              </w:rPr>
              <w:t xml:space="preserve"> 8 输入接口：至少配置1×HDMI+1×VGA双视频输入接口，兼容新老台式主机</w:t>
            </w:r>
            <w:r>
              <w:br/>
            </w:r>
            <w:r>
              <w:rPr>
                <w:rFonts w:ascii="仿宋_GB2312" w:hAnsi="仿宋_GB2312" w:cs="仿宋_GB2312" w:eastAsia="仿宋_GB2312"/>
              </w:rPr>
              <w:t xml:space="preserve"> 9 安装规格：机身背部预留标准VESA壁挂孔位，规格100×100mm，支持壁挂/显示器悬臂安装</w:t>
            </w:r>
            <w:r>
              <w:br/>
            </w:r>
            <w:r>
              <w:rPr>
                <w:rFonts w:ascii="仿宋_GB2312" w:hAnsi="仿宋_GB2312" w:cs="仿宋_GB2312" w:eastAsia="仿宋_GB2312"/>
              </w:rPr>
              <w:t xml:space="preserve"> 10 支架功能：标配原装底座，屏幕俯仰角度可调，调节范围≥-5°~+15°；窄边框设计，支持多屏拼接使用</w:t>
            </w:r>
            <w:r>
              <w:br/>
            </w:r>
            <w:r>
              <w:rPr>
                <w:rFonts w:ascii="仿宋_GB2312" w:hAnsi="仿宋_GB2312" w:cs="仿宋_GB2312" w:eastAsia="仿宋_GB2312"/>
              </w:rPr>
              <w:t xml:space="preserve"> 11 机身与电源 ：商务黑色机身，外置DC电源适配器，机身无内置扬声器</w:t>
            </w:r>
            <w:r>
              <w:br/>
            </w:r>
            <w:r>
              <w:rPr>
                <w:rFonts w:ascii="仿宋_GB2312" w:hAnsi="仿宋_GB2312" w:cs="仿宋_GB2312" w:eastAsia="仿宋_GB2312"/>
              </w:rPr>
              <w:t xml:space="preserve"> 12 资质认证：产品通过国家3C强制认证、二级及以上能效认证，低蓝证书，环保证书，供货可提供对应证书复印件备查</w:t>
            </w:r>
            <w:r>
              <w:br/>
            </w:r>
            <w:r>
              <w:rPr>
                <w:rFonts w:ascii="仿宋_GB2312" w:hAnsi="仿宋_GB2312" w:cs="仿宋_GB2312" w:eastAsia="仿宋_GB2312"/>
              </w:rPr>
              <w:t xml:space="preserve"> 13 质保售后：原厂整机全国联保≥1年，国内正规品牌官方售后网点维保；全新原厂未拆封正品，不得提供翻新、拆机样机</w:t>
            </w:r>
            <w:r>
              <w:br/>
            </w:r>
            <w:r>
              <w:rPr>
                <w:rFonts w:ascii="仿宋_GB2312" w:hAnsi="仿宋_GB2312" w:cs="仿宋_GB2312" w:eastAsia="仿宋_GB2312"/>
              </w:rPr>
              <w:t xml:space="preserve"> 14 标配配件：原厂配套电源适配器、HDMI信号线、安装底座、产品说明书</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pPr>
            <w:r>
              <w:rPr>
                <w:rFonts w:ascii="仿宋_GB2312" w:hAnsi="仿宋_GB2312" w:cs="仿宋_GB2312" w:eastAsia="仿宋_GB2312"/>
              </w:rPr>
              <w:t>网络数据交换服务  3台</w:t>
            </w:r>
          </w:p>
          <w:p>
            <w:pPr>
              <w:pStyle w:val="null3"/>
            </w:pPr>
            <w:r>
              <w:rPr>
                <w:rFonts w:ascii="仿宋_GB2312" w:hAnsi="仿宋_GB2312" w:cs="仿宋_GB2312" w:eastAsia="仿宋_GB2312"/>
              </w:rPr>
              <w:t>二层网管交换机，交换容量336Gbps，包转发率42Mpps，24口10/100/1000Mbps自适应电口交换机，固化4个SFP千兆光口，支持VLAN、 ACL、端口镜像、端口聚合等功能。支持SNMPV1/V2/V3、Telnet、SSHV2</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pPr>
            <w:r>
              <w:rPr>
                <w:rFonts w:ascii="仿宋_GB2312" w:hAnsi="仿宋_GB2312" w:cs="仿宋_GB2312" w:eastAsia="仿宋_GB2312"/>
              </w:rPr>
              <w:t>综合布线及机柜   3套</w:t>
            </w:r>
          </w:p>
          <w:p>
            <w:pPr>
              <w:pStyle w:val="null3"/>
            </w:pPr>
            <w:r>
              <w:rPr>
                <w:rFonts w:ascii="仿宋_GB2312" w:hAnsi="仿宋_GB2312" w:cs="仿宋_GB2312" w:eastAsia="仿宋_GB2312"/>
              </w:rPr>
              <w:t>根据系统建设采购提供线缆，进行音频，视频等信号线缆铺设，基础设施升级改造，线材升级配置改造及材料，18u网络高专业机柜。</w:t>
            </w:r>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p>
            <w:pPr>
              <w:pStyle w:val="null3"/>
            </w:pPr>
            <w:r>
              <w:rPr>
                <w:rFonts w:ascii="仿宋_GB2312" w:hAnsi="仿宋_GB2312" w:cs="仿宋_GB2312" w:eastAsia="仿宋_GB2312"/>
              </w:rPr>
              <w:t>庭审集成服务  1项</w:t>
            </w:r>
          </w:p>
          <w:p>
            <w:pPr>
              <w:pStyle w:val="null3"/>
            </w:pPr>
            <w:r>
              <w:rPr>
                <w:rFonts w:ascii="仿宋_GB2312" w:hAnsi="仿宋_GB2312" w:cs="仿宋_GB2312" w:eastAsia="仿宋_GB2312"/>
              </w:rPr>
              <w:t>旧设备改造升级，部分设备及线缆更换，系统改造升级完毕后与法院现有系统实现无缝对接，升级改造后满足庭审相关要求。</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20日历天内安装调试到位，并经采购人最终验收合格</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商洛市商州区沙河子、杨峪河、牧护关，安装调试到位并经采购人最终验收合格</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进度款，合同签订后，乙方按照采购要求及合同规定完成项目内容，待甲方验收合格后，达到付款条件起10个工作日内，支付合同总金额的97.0%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进度款，无缺陷期（质保期）后，达到付款条件起10个工作日内，支付合同总金额的3.0%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验收分初验和终验两次进行： 1.初验: 货物到达采购人指点地点后，采购人对货物的名称、品牌型号、数量进行检查, 所有货物和安装调试完毕，所有培训工作结束后, 对整体使用状况进行验收。 2.终验: 整体运行/使用满一个月后,采购人对所有货物使用状况进行验收。 3.验收不合格的货物，成交供应商必须在接到通知后7个日历天内保证货物运行/使用正常。如接到通知后7个日历天内未保证货物运行正常，则终止其供货合同，并赔偿采购人的损失。</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1、乙方提供货物必须是最新工艺的最新产品。 2、所供货物必须是经过办理正常手续的全新产品。 3、所供货物是经过国家法定检验、注册、准许市场销售的合法产品。 4、货物性能稳定、具有较好的使用效果，质量保证措施完善，符合国家相关标准。 5、货物的质保期为验收合格后 1 年，质保期后，配件只收取成本费用。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1、按《民典法》中的相关条款执行。 2、供应商未按合同要求完成供货或已供的部分达不到验收标准又不愿更换的，采购人有权终止合同，并对供应商的违约行为进行追究，同时按《政府采购法》和陕西省政府采购供应商管理办法进行相应的处罚。 3、合同执行中发生争议的，当事人双方应协商解决，协商达不成一致时，可向项目所在地人民法院提请诉讼。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为保障政府采购电子化交易平台项目实施，供应商需要在线提交所有通过电子化交易平台实施的政府采购项目的响应文件，同时，线下提交响应文件正本壹份、副本贰份、电子版一份（U盘一份）。（1）提交纸质版响应文件截止时间：开标前；（2）提交纸质版响应文件地点：商洛市商郡城北门3＃楼2单元101室；（3）提交纸质版响应文件密封要求：投标文件双面打印，投标文件正本一个封袋、副本一个封袋、电子版文件放置正本封袋内，电子版文件须粘贴注明投标人名称的标签。</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主体资格合法有效</w:t>
            </w:r>
          </w:p>
        </w:tc>
        <w:tc>
          <w:tcPr>
            <w:tcW w:type="dxa" w:w="3322"/>
          </w:tcPr>
          <w:p>
            <w:pPr>
              <w:pStyle w:val="null3"/>
            </w:pPr>
            <w:r>
              <w:rPr>
                <w:rFonts w:ascii="仿宋_GB2312" w:hAnsi="仿宋_GB2312" w:cs="仿宋_GB2312" w:eastAsia="仿宋_GB2312"/>
              </w:rPr>
              <w:t>供应商须在中华人民共和国境内注册，依法取得并有效存续的营业执照（或事业单位法人证书\民办非企业单位登记证书\非企业专业服务机构执业许可证等主体资格证书）。供应商须在项目电子化采购系统中提交主体资格证书（根据企业类型、性质选择其一）原件的扫描件，并完成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具有良好的财务状况</w:t>
            </w:r>
          </w:p>
        </w:tc>
        <w:tc>
          <w:tcPr>
            <w:tcW w:type="dxa" w:w="3322"/>
          </w:tcPr>
          <w:p>
            <w:pPr>
              <w:pStyle w:val="null3"/>
            </w:pPr>
            <w:r>
              <w:rPr>
                <w:rFonts w:ascii="仿宋_GB2312" w:hAnsi="仿宋_GB2312" w:cs="仿宋_GB2312" w:eastAsia="仿宋_GB2312"/>
              </w:rPr>
              <w:t>供应商须具有良好的财务状况，并须在项目电子化交易系统中提交近一个年度经第三方机构审计的财务报告（成立时间至提交响应文件截止时间不足一年的可提供成立后任意时段的资产负债表），或其本项目磋商公告前三个月内基本开户银行出具的资信证明（以上两种形式的资料提供任何一种即可），并完成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具有良好的税收缴纳记录</w:t>
            </w:r>
          </w:p>
        </w:tc>
        <w:tc>
          <w:tcPr>
            <w:tcW w:type="dxa" w:w="3322"/>
          </w:tcPr>
          <w:p>
            <w:pPr>
              <w:pStyle w:val="null3"/>
            </w:pPr>
            <w:r>
              <w:rPr>
                <w:rFonts w:ascii="仿宋_GB2312" w:hAnsi="仿宋_GB2312" w:cs="仿宋_GB2312" w:eastAsia="仿宋_GB2312"/>
              </w:rPr>
              <w:t>供应商须具有良好的税收缴纳记录，并须在项目电子化交易系统中提交2025年6月以来内任意一个月的缴纳税收凭据（任意税种，时间以税款所属日期为准，凭据须有税务机关或代收机关的公章或业务专用章，依法免税或无须缴纳税收应提供相应证明文件），并完成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具有良好的社会保障资金缴纳记录</w:t>
            </w:r>
          </w:p>
        </w:tc>
        <w:tc>
          <w:tcPr>
            <w:tcW w:type="dxa" w:w="3322"/>
          </w:tcPr>
          <w:p>
            <w:pPr>
              <w:pStyle w:val="null3"/>
            </w:pPr>
            <w:r>
              <w:rPr>
                <w:rFonts w:ascii="仿宋_GB2312" w:hAnsi="仿宋_GB2312" w:cs="仿宋_GB2312" w:eastAsia="仿宋_GB2312"/>
              </w:rPr>
              <w:t>供应商须具有良好的社会保障资金缴纳记录，并须在项目电子化交易系统中提交2025年6月以来内任意一个月的社会保障资金缴存单据或社保机构开具的社会保险参保缴费情况证明，依法不需要缴纳社会保障资金的须提供相关证明文件，并完成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近三年内在经营活动中无重大违法记录</w:t>
            </w:r>
          </w:p>
        </w:tc>
        <w:tc>
          <w:tcPr>
            <w:tcW w:type="dxa" w:w="3322"/>
          </w:tcPr>
          <w:p>
            <w:pPr>
              <w:pStyle w:val="null3"/>
            </w:pPr>
            <w:r>
              <w:rPr>
                <w:rFonts w:ascii="仿宋_GB2312" w:hAnsi="仿宋_GB2312" w:cs="仿宋_GB2312" w:eastAsia="仿宋_GB2312"/>
              </w:rPr>
              <w:t>供应商近三年内在经营活动中须无重大违法记录，并须在项目电子化交易系统中提交近三年内在经营活动中无重大违法记录声明函，且近三年内在经营活动中无重大违法记录，并完成电子签章。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控股关系承诺合法有效</w:t>
            </w:r>
          </w:p>
        </w:tc>
        <w:tc>
          <w:tcPr>
            <w:tcW w:type="dxa" w:w="3322"/>
          </w:tcPr>
          <w:p>
            <w:pPr>
              <w:pStyle w:val="null3"/>
            </w:pPr>
            <w:r>
              <w:rPr>
                <w:rFonts w:ascii="仿宋_GB2312" w:hAnsi="仿宋_GB2312" w:cs="仿宋_GB2312" w:eastAsia="仿宋_GB2312"/>
              </w:rPr>
              <w:t>单位负责人为同一人或者存在直接控股、管理关系的不同供应商，不得同时参加本项目同一合同项下政府采购活动。供应商须在项目电子化交易系统中提交“单位负责人为同一人或者存在直接控股、管理关系的不同供应商，不得同时参加本项目同一合同项下的政府采购活动的承诺书”原件的扫描件，并完成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非联合体不分包响应声明合法有效</w:t>
            </w:r>
          </w:p>
        </w:tc>
        <w:tc>
          <w:tcPr>
            <w:tcW w:type="dxa" w:w="3322"/>
          </w:tcPr>
          <w:p>
            <w:pPr>
              <w:pStyle w:val="null3"/>
            </w:pPr>
            <w:r>
              <w:rPr>
                <w:rFonts w:ascii="仿宋_GB2312" w:hAnsi="仿宋_GB2312" w:cs="仿宋_GB2312" w:eastAsia="仿宋_GB2312"/>
              </w:rPr>
              <w:t>本项目不接受联合体响应，供应商须以一个独立的法人实体参加响应。供应商须在项目电子化交易系统中提交“非联合体不分包响应声明函”原件的扫描件，并完成电子签章。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信用记录声明及查询合法有效</w:t>
            </w:r>
          </w:p>
        </w:tc>
        <w:tc>
          <w:tcPr>
            <w:tcW w:type="dxa" w:w="3322"/>
          </w:tcPr>
          <w:p>
            <w:pPr>
              <w:pStyle w:val="null3"/>
            </w:pPr>
            <w:r>
              <w:rPr>
                <w:rFonts w:ascii="仿宋_GB2312" w:hAnsi="仿宋_GB2312" w:cs="仿宋_GB2312" w:eastAsia="仿宋_GB2312"/>
              </w:rPr>
              <w:t>供应商未被信用中国网站（http://www.creditchina.gov.cn）列入信用记录失信被执行人、重大税收违法案件当事人名单，未被中国政府采购网（http://www.ccgp.gov.cn）列为政府采购严重违法失信行为记录名单、未被禁止参加政府采购活动。供应商须在项目电子化交易系统中提交《供应商信用记录声明函》，并完成电子签章。采购人及采购代理机构在开标后现场查询信用记录并下载查询报告及截图保存，存在不良信用记录的，按无效响应处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法定代表人授权书合法有效</w:t>
            </w:r>
          </w:p>
        </w:tc>
        <w:tc>
          <w:tcPr>
            <w:tcW w:type="dxa" w:w="3322"/>
          </w:tcPr>
          <w:p>
            <w:pPr>
              <w:pStyle w:val="null3"/>
            </w:pPr>
            <w:r>
              <w:rPr>
                <w:rFonts w:ascii="仿宋_GB2312" w:hAnsi="仿宋_GB2312" w:cs="仿宋_GB2312" w:eastAsia="仿宋_GB2312"/>
              </w:rPr>
              <w:t>供应商法定代表人直接参加磋商的须提供本人身份证、法定代表人身份证明书，法定代表人授权代表参加磋商的须提供法定代表人授权书、被授权人身份证，并须在项目电子化交易系统中提交法定代表人身份证、法定代表人身份证明书（或法定代表人授权书、被授权人身份证）原件的扫描件，并完成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分项报价表.pdf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响应文件上法定代表人或其授权代表人的签字齐全并加盖电子公章。</w:t>
            </w:r>
          </w:p>
        </w:tc>
        <w:tc>
          <w:tcPr>
            <w:tcW w:type="dxa" w:w="1661"/>
          </w:tcPr>
          <w:p>
            <w:pPr>
              <w:pStyle w:val="null3"/>
            </w:pPr>
            <w:r>
              <w:rPr>
                <w:rFonts w:ascii="仿宋_GB2312" w:hAnsi="仿宋_GB2312" w:cs="仿宋_GB2312" w:eastAsia="仿宋_GB2312"/>
              </w:rPr>
              <w:t>中小企业声明函 商务应答表 供应商应提交的相关资格证明材料 报价表 响应文件封面 产品技术参数表 磋商供应商技术响应部分.pdf 残疾人福利性单位声明函 标的清单 实施方案.pdf 响应函 监狱企业的证明文件 分项报价表.pdf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符合第七章“响应文件格式”要求</w:t>
            </w:r>
          </w:p>
        </w:tc>
        <w:tc>
          <w:tcPr>
            <w:tcW w:type="dxa" w:w="1661"/>
          </w:tcPr>
          <w:p>
            <w:pPr>
              <w:pStyle w:val="null3"/>
            </w:pPr>
            <w:r>
              <w:rPr>
                <w:rFonts w:ascii="仿宋_GB2312" w:hAnsi="仿宋_GB2312" w:cs="仿宋_GB2312" w:eastAsia="仿宋_GB2312"/>
              </w:rPr>
              <w:t>中小企业声明函 商务应答表 供应商应提交的相关资格证明材料 报价表 响应文件封面 产品技术参数表 磋商供应商技术响应部分.pdf 残疾人福利性单位声明函 标的清单 实施方案.pdf 响应函 监狱企业的证明文件 分项报价表.pdf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中小企业声明函 商务应答表 供应商应提交的相关资格证明材料 报价表 响应文件封面 产品技术参数表 磋商供应商技术响应部分.pdf 残疾人福利性单位声明函 标的清单 实施方案.pdf 响应函 监狱企业的证明文件 分项报价表.pdf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对磋商文件的响应程度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中小企业声明函 商务应答表 供应商应提交的相关资格证明材料 报价表 响应文件封面 产品技术参数表 磋商供应商技术响应部分.pdf 残疾人福利性单位声明函 标的清单 实施方案.pdf 响应函 监狱企业的证明文件 分项报价表.pdf</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供应商提供近三年类似项目业绩，（以合同为准，复印件加盖公章），每份计2分，计满6分为止。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vMerge/>
          </w:tcPr>
          <w:p/>
        </w:tc>
        <w:tc>
          <w:tcPr>
            <w:tcW w:type="dxa" w:w="1661"/>
          </w:tcPr>
          <w:p>
            <w:pPr>
              <w:pStyle w:val="null3"/>
            </w:pPr>
            <w:r>
              <w:rPr>
                <w:rFonts w:ascii="仿宋_GB2312" w:hAnsi="仿宋_GB2312" w:cs="仿宋_GB2312" w:eastAsia="仿宋_GB2312"/>
              </w:rPr>
              <w:t>能力证明</w:t>
            </w:r>
          </w:p>
        </w:tc>
        <w:tc>
          <w:tcPr>
            <w:tcW w:type="dxa" w:w="2492"/>
          </w:tcPr>
          <w:p>
            <w:pPr>
              <w:pStyle w:val="null3"/>
            </w:pPr>
            <w:r>
              <w:rPr>
                <w:rFonts w:ascii="仿宋_GB2312" w:hAnsi="仿宋_GB2312" w:cs="仿宋_GB2312" w:eastAsia="仿宋_GB2312"/>
              </w:rPr>
              <w:t>供应商具有本项目实施系统相关证书，包括但不限于庭审、网络安全、安防等相关著作权证书。每有一个计2分，满分4分。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实施方案.pdf</w:t>
            </w:r>
          </w:p>
        </w:tc>
      </w:tr>
      <w:tr>
        <w:tc>
          <w:tcPr>
            <w:tcW w:type="dxa" w:w="831"/>
            <w:vMerge/>
          </w:tcPr>
          <w:p/>
        </w:tc>
        <w:tc>
          <w:tcPr>
            <w:tcW w:type="dxa" w:w="1661"/>
          </w:tcPr>
          <w:p>
            <w:pPr>
              <w:pStyle w:val="null3"/>
            </w:pPr>
            <w:r>
              <w:rPr>
                <w:rFonts w:ascii="仿宋_GB2312" w:hAnsi="仿宋_GB2312" w:cs="仿宋_GB2312" w:eastAsia="仿宋_GB2312"/>
              </w:rPr>
              <w:t>项目人员配备</w:t>
            </w:r>
          </w:p>
        </w:tc>
        <w:tc>
          <w:tcPr>
            <w:tcW w:type="dxa" w:w="2492"/>
          </w:tcPr>
          <w:p>
            <w:pPr>
              <w:pStyle w:val="null3"/>
            </w:pPr>
            <w:r>
              <w:rPr>
                <w:rFonts w:ascii="仿宋_GB2312" w:hAnsi="仿宋_GB2312" w:cs="仿宋_GB2312" w:eastAsia="仿宋_GB2312"/>
              </w:rPr>
              <w:t>项目组织结构、专业服务团队配置齐全；项目关键岗位人员配备；拟派人员数量和搭配齐全、职称证书（中级）齐全有效。 评委综合评议后按其人员配备情况赋分。 岗位分配合理，技术职称与项目配套并证书齐全，技术人员≥5人；计5分， 岗位分配合理，技术职称与项目配套并证书齐全，技术人员3（含）-4人；计3～4分；技术人员3人以下计1-2分，未提供不得分。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实施方案.pdf</w:t>
            </w:r>
          </w:p>
        </w:tc>
      </w:tr>
      <w:tr>
        <w:tc>
          <w:tcPr>
            <w:tcW w:type="dxa" w:w="831"/>
            <w:vMerge/>
          </w:tcPr>
          <w:p/>
        </w:tc>
        <w:tc>
          <w:tcPr>
            <w:tcW w:type="dxa" w:w="1661"/>
          </w:tcPr>
          <w:p>
            <w:pPr>
              <w:pStyle w:val="null3"/>
            </w:pPr>
            <w:r>
              <w:rPr>
                <w:rFonts w:ascii="仿宋_GB2312" w:hAnsi="仿宋_GB2312" w:cs="仿宋_GB2312" w:eastAsia="仿宋_GB2312"/>
              </w:rPr>
              <w:t>产品 质量</w:t>
            </w:r>
          </w:p>
        </w:tc>
        <w:tc>
          <w:tcPr>
            <w:tcW w:type="dxa" w:w="2492"/>
          </w:tcPr>
          <w:p>
            <w:pPr>
              <w:pStyle w:val="null3"/>
            </w:pPr>
            <w:r>
              <w:rPr>
                <w:rFonts w:ascii="仿宋_GB2312" w:hAnsi="仿宋_GB2312" w:cs="仿宋_GB2312" w:eastAsia="仿宋_GB2312"/>
              </w:rPr>
              <w:t>1、产品配置齐全，符合需求、数量、参数清楚、明确的计 1-4 分； 2、技术指标基础分计16分。满足技术要求的，计16分；带“▲”的技术参数不满足采购要求的，每负偏离一项扣2分，基础分扣完为止。优于技术要求的，经横向比较后，每正偏离一项在基础分上加 1分，最多加分不得超过 2分。该项满分18分。 3、设备性能（3分） 设备的稳定性、在主要技术性能、自动化程度、操作条件、现代新技术的应用等方面具有技术上的先进性使用，效果良好，结构合理，材质好，优得3分； 设备的稳定性好，效果良好，结构合理，材质好，良好得2分； 设备较稳定，材质好，一般得0-1分。 以上佐证资料能提供生产厂家出具的、响应的功能证明材料（包括但不限于检测报告、官网截图、彩页、说明书等相关资料）。 本项最高得25分；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磋商供应商技术响应部分.pdf</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产品 渠道</w:t>
            </w:r>
          </w:p>
        </w:tc>
        <w:tc>
          <w:tcPr>
            <w:tcW w:type="dxa" w:w="2492"/>
          </w:tcPr>
          <w:p>
            <w:pPr>
              <w:pStyle w:val="null3"/>
            </w:pPr>
            <w:r>
              <w:rPr>
                <w:rFonts w:ascii="仿宋_GB2312" w:hAnsi="仿宋_GB2312" w:cs="仿宋_GB2312" w:eastAsia="仿宋_GB2312"/>
              </w:rPr>
              <w:t>原材料来源渠道合法的证明文件（包括但不限于销售协议、原厂授权等）。产品无假货、水货,证明资料齐全得2分、没有不得分。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磋商供应商技术响应部分.pdf</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实施 方案</w:t>
            </w:r>
          </w:p>
        </w:tc>
        <w:tc>
          <w:tcPr>
            <w:tcW w:type="dxa" w:w="2492"/>
          </w:tcPr>
          <w:p>
            <w:pPr>
              <w:pStyle w:val="null3"/>
            </w:pPr>
            <w:r>
              <w:rPr>
                <w:rFonts w:ascii="仿宋_GB2312" w:hAnsi="仿宋_GB2312" w:cs="仿宋_GB2312" w:eastAsia="仿宋_GB2312"/>
              </w:rPr>
              <w:t>整体方案描述符合项目总体技术方案要求和磋商文件要求，供应商对项目建设背景、建设目标理解充分，符合本项目建设总体要求，技术方案能全面满足用户需求，方案设计科学有效，合理先进、安全可靠、经济实用，完全满足用户需求。 ①方案针对性强、贴合项目需求、服务逻辑完整、管理流程清晰得8（含）-10分； ②方案基本合理、逻辑一般、少量套用通用模板得6（含）-8分； ③方案简单，基本能保证项目实施计3-5分 ④方案粗糙、针对性差、不符合本项目用工要求得1（含）-2分；未提供方案不得分。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实施方案.pdf</w:t>
            </w:r>
          </w:p>
        </w:tc>
      </w:tr>
      <w:tr>
        <w:tc>
          <w:tcPr>
            <w:tcW w:type="dxa" w:w="831"/>
            <w:vMerge/>
          </w:tcPr>
          <w:p/>
        </w:tc>
        <w:tc>
          <w:tcPr>
            <w:tcW w:type="dxa" w:w="1661"/>
          </w:tcPr>
          <w:p>
            <w:pPr>
              <w:pStyle w:val="null3"/>
            </w:pPr>
            <w:r>
              <w:rPr>
                <w:rFonts w:ascii="仿宋_GB2312" w:hAnsi="仿宋_GB2312" w:cs="仿宋_GB2312" w:eastAsia="仿宋_GB2312"/>
              </w:rPr>
              <w:t>交货方案及时间进度计划安排</w:t>
            </w:r>
          </w:p>
        </w:tc>
        <w:tc>
          <w:tcPr>
            <w:tcW w:type="dxa" w:w="2492"/>
          </w:tcPr>
          <w:p>
            <w:pPr>
              <w:pStyle w:val="null3"/>
            </w:pPr>
            <w:r>
              <w:rPr>
                <w:rFonts w:ascii="仿宋_GB2312" w:hAnsi="仿宋_GB2312" w:cs="仿宋_GB2312" w:eastAsia="仿宋_GB2312"/>
              </w:rPr>
              <w:t>交货方案及时间进度计划安排内容完整、安排合理、切实可行、科学规范、针对性好；5-6分 交货方案及时间进度计划安排内容较完整、安排较合理、针对性较好；3-4分 交货方案及时间进度计划安排内容一般、针对性一般。1-2分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实施方案.pdf</w:t>
            </w:r>
          </w:p>
        </w:tc>
      </w:tr>
      <w:tr>
        <w:tc>
          <w:tcPr>
            <w:tcW w:type="dxa" w:w="831"/>
            <w:vMerge/>
          </w:tcPr>
          <w:p/>
        </w:tc>
        <w:tc>
          <w:tcPr>
            <w:tcW w:type="dxa" w:w="1661"/>
          </w:tcPr>
          <w:p>
            <w:pPr>
              <w:pStyle w:val="null3"/>
            </w:pPr>
            <w:r>
              <w:rPr>
                <w:rFonts w:ascii="仿宋_GB2312" w:hAnsi="仿宋_GB2312" w:cs="仿宋_GB2312" w:eastAsia="仿宋_GB2312"/>
              </w:rPr>
              <w:t>质量 保证</w:t>
            </w:r>
          </w:p>
        </w:tc>
        <w:tc>
          <w:tcPr>
            <w:tcW w:type="dxa" w:w="2492"/>
          </w:tcPr>
          <w:p>
            <w:pPr>
              <w:pStyle w:val="null3"/>
            </w:pPr>
            <w:r>
              <w:rPr>
                <w:rFonts w:ascii="仿宋_GB2312" w:hAnsi="仿宋_GB2312" w:cs="仿宋_GB2312" w:eastAsia="仿宋_GB2312"/>
              </w:rPr>
              <w:t>质量保证方案满足采购文件要求且内容完善、保证承诺明确具体；得4-5分 质量保证方案内容简单，但基本体现重点；得3-4分 质量保证方案内容粗略；得1-2分；未提供不得分。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实施方案.pdf</w:t>
            </w:r>
          </w:p>
        </w:tc>
      </w:tr>
      <w:tr>
        <w:tc>
          <w:tcPr>
            <w:tcW w:type="dxa" w:w="831"/>
            <w:vMerge/>
          </w:tcPr>
          <w:p/>
        </w:tc>
        <w:tc>
          <w:tcPr>
            <w:tcW w:type="dxa" w:w="1661"/>
          </w:tcPr>
          <w:p>
            <w:pPr>
              <w:pStyle w:val="null3"/>
            </w:pPr>
            <w:r>
              <w:rPr>
                <w:rFonts w:ascii="仿宋_GB2312" w:hAnsi="仿宋_GB2312" w:cs="仿宋_GB2312" w:eastAsia="仿宋_GB2312"/>
              </w:rPr>
              <w:t>售后服 务承诺</w:t>
            </w:r>
          </w:p>
        </w:tc>
        <w:tc>
          <w:tcPr>
            <w:tcW w:type="dxa" w:w="2492"/>
          </w:tcPr>
          <w:p>
            <w:pPr>
              <w:pStyle w:val="null3"/>
            </w:pPr>
            <w:r>
              <w:rPr>
                <w:rFonts w:ascii="仿宋_GB2312" w:hAnsi="仿宋_GB2312" w:cs="仿宋_GB2312" w:eastAsia="仿宋_GB2312"/>
              </w:rPr>
              <w:t>售后服务方式和时间： 1）供应商售后服务详细介绍：包括售后服务资质资格、技术力量、服务内容、服务响应时间。（0-2分） 2）售后服务承诺；维护方案、维护内容；双方负责的内容；保修范围﹑保修条件；解决问题﹑排除故障的速度等。（0-2分）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实施方案.pdf</w:t>
            </w:r>
          </w:p>
        </w:tc>
      </w:tr>
      <w:tr>
        <w:tc>
          <w:tcPr>
            <w:tcW w:type="dxa" w:w="831"/>
            <w:vMerge/>
          </w:tcPr>
          <w:p/>
        </w:tc>
        <w:tc>
          <w:tcPr>
            <w:tcW w:type="dxa" w:w="1661"/>
          </w:tcPr>
          <w:p>
            <w:pPr>
              <w:pStyle w:val="null3"/>
            </w:pPr>
            <w:r>
              <w:rPr>
                <w:rFonts w:ascii="仿宋_GB2312" w:hAnsi="仿宋_GB2312" w:cs="仿宋_GB2312" w:eastAsia="仿宋_GB2312"/>
              </w:rPr>
              <w:t>商务响应</w:t>
            </w:r>
          </w:p>
        </w:tc>
        <w:tc>
          <w:tcPr>
            <w:tcW w:type="dxa" w:w="2492"/>
          </w:tcPr>
          <w:p>
            <w:pPr>
              <w:pStyle w:val="null3"/>
            </w:pPr>
            <w:r>
              <w:rPr>
                <w:rFonts w:ascii="仿宋_GB2312" w:hAnsi="仿宋_GB2312" w:cs="仿宋_GB2312" w:eastAsia="仿宋_GB2312"/>
              </w:rPr>
              <w:t>响应文件应对商务要求进行响应说明，完全响应磋商文件的计2分，响应文件对交货期、质保期、付款方式、验收等商务要求优于采购文件并有详细说明的，每项最多加0.5分，满分3分。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分项报价表.pdf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1.经初审合格的响应文件，其磋商报价为有效磋商价。对符合政策性扣减的有效磋商报价进行政策性扣减，并依据扣减后的价格（评审价格）进行价格评审。 2.采用低价优先法计算，即满足磋商文件要求且最后报价最低者为评标基准价，其价格分为满分。 其余报价得分=（评标基准价/投标报价）×30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分项报价表.pdf</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详见附件：分项报价表.pdf</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详见附件：磋商供应商技术响应部分.pdf</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详见附件：实施方案.pdf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详见附件：商务及合同主要条款（区法院）.docx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