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版本号：【KRDL】K5-2604029.1B220260716001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血站品牌形象升级采购项目(三次)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【KRDL】K5-2604029.1B2</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血站品牌形象升级采购项目(三次)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【KRDL】K5-2604029.1B2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血站品牌形象升级采购项目(三次)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无偿献血宣传工作是无偿献血工作的基础。为进一步提升血站品牌辨识度、公信力与服务形象，充分展现血站公益属性、专业形象与人文关怀，对现有品牌体系进行全面升级。通过统一视觉标准、强化品牌记忆，助力扩大献血者招募规模、增强社会认可度，打造贴合血站行业特性的标准化、专业化、人性化品牌形象体系，现对其血站品牌形象升级采购项目进行采购。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采购包1（血站品牌形象升级采购项目）：属于专门面向中小企业采购。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2、财务要求：供应商提供 2024 年度或 2025 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 2025 年5 月1 日以来任意 1 个月的社保缴纳证明，其他组织形式供应商(如个体工商户、合作社、 自然人等)可提供法人或负责人个人 2025 年 5 月 1 日以来任意 1 个月的社保资金缴纳证明材料)</w:t>
      </w:r>
    </w:p>
    <w:p>
      <w:pPr>
        <w:pStyle w:val="null3"/>
      </w:pPr>
      <w:r>
        <w:rPr>
          <w:rFonts w:ascii="仿宋_GB2312" w:hAnsi="仿宋_GB2312" w:cs="仿宋_GB2312" w:eastAsia="仿宋_GB2312"/>
        </w:rPr>
        <w:t>4、纳税要求：纳税的缴费证明材料(供应商提供 2025 年5 月1 日以来任意 1 个月的纳税缴纳证明，免税企业提供税务机关出具相关的有效证明材料)</w:t>
      </w:r>
    </w:p>
    <w:p>
      <w:pPr>
        <w:pStyle w:val="null3"/>
      </w:pPr>
      <w:r>
        <w:rPr>
          <w:rFonts w:ascii="仿宋_GB2312" w:hAnsi="仿宋_GB2312" w:cs="仿宋_GB2312" w:eastAsia="仿宋_GB2312"/>
        </w:rPr>
        <w:t>5、参加政府采购活动前 3年内在经营活动中没有重大违法记录的书面声明：参加政府采购活动前 3 年内在经营活动中没有重大违法记录的书面声明；其中：重大违法记录是指供应商因违法经营受到刑事处罚或者责令停产停业、吊销许可证或者执照、较大数额罚款等行政处罚</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 ”网站列入“重大税收违法失信主体名单 ”；未被“ 中国执行信息公开网 ”列入“失信被执行人 ”；未被“ 中国政府采购网 ”网站列入“政府采购严重违法失信行为记录名单 ”；未被“ 国家企业信用信息公示系统 ”网站“列入严重违法失信名单（黑名单）信息 ”</w:t>
      </w:r>
    </w:p>
    <w:p>
      <w:pPr>
        <w:pStyle w:val="null3"/>
      </w:pPr>
      <w:r>
        <w:rPr>
          <w:rFonts w:ascii="仿宋_GB2312" w:hAnsi="仿宋_GB2312" w:cs="仿宋_GB2312" w:eastAsia="仿宋_GB2312"/>
        </w:rPr>
        <w:t>8、供应商承诺 1：本项目不接受西安市中心血站职工及其亲属投资开办的企业投标（供应商需提供关联关系与廉洁承诺）</w:t>
      </w:r>
    </w:p>
    <w:p>
      <w:pPr>
        <w:pStyle w:val="null3"/>
      </w:pPr>
      <w:r>
        <w:rPr>
          <w:rFonts w:ascii="仿宋_GB2312" w:hAnsi="仿宋_GB2312" w:cs="仿宋_GB2312" w:eastAsia="仿宋_GB2312"/>
        </w:rPr>
        <w:t>9、供应商承诺 2：本项目保证在履约过程中不影响货物质量、降低产品技术参数配置、保证提供产品的质量并诚信履约（供应商需提供质量保证承诺书）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西安市雁塔区朱雀大街407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王森、张怡凡、姚瑶、王昭、刘昆、张晨、代光艳、靳祥德、成荔、彭明杨、王莉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029-81870236、13008527555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 日内，由成交供应商参照国家计委颁发的《招标代理服务收费管理暂行办法》（计价格[2002]1980 号）和国家发展和改革委员会办公厅颁发的《关于招标代理服务收费有关问题的通知》（发改办价格[2003]857号）有关规定标准向采购代理机构一次付清代理服务费。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踏勘时间：2026-07-24 09:00:00</w:t>
            </w:r>
          </w:p>
          <w:p>
            <w:pPr>
              <w:pStyle w:val="null3"/>
              <w:ind w:firstLine="975"/>
            </w:pPr>
            <w:r>
              <w:rPr>
                <w:rFonts w:ascii="仿宋_GB2312" w:hAnsi="仿宋_GB2312" w:cs="仿宋_GB2312" w:eastAsia="仿宋_GB2312"/>
              </w:rPr>
              <w:t>踏勘地点：西安市中心血站南门</w:t>
            </w:r>
          </w:p>
          <w:p>
            <w:pPr>
              <w:pStyle w:val="null3"/>
              <w:ind w:firstLine="975"/>
            </w:pPr>
            <w:r>
              <w:rPr>
                <w:rFonts w:ascii="仿宋_GB2312" w:hAnsi="仿宋_GB2312" w:cs="仿宋_GB2312" w:eastAsia="仿宋_GB2312"/>
              </w:rPr>
              <w:t>联系人：梁老师</w:t>
            </w:r>
          </w:p>
          <w:p>
            <w:pPr>
              <w:pStyle w:val="null3"/>
              <w:ind w:firstLine="975"/>
            </w:pPr>
            <w:r>
              <w:rPr>
                <w:rFonts w:ascii="仿宋_GB2312" w:hAnsi="仿宋_GB2312" w:cs="仿宋_GB2312" w:eastAsia="仿宋_GB2312"/>
              </w:rPr>
              <w:t>联系电话号码：15991716461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偿献血宣传工作是无偿献血工作的基础。为进一步提升血站品牌辨识度、公信力与服务形象，充分展现血站公益属性、专业形象与人文关怀，对现有品牌体系进行全面升级。通过统一视觉标准、强化品牌记忆，助力扩大献血者招募规模、增强社会认可度，打造贴合血站行业特性的标准化、专业化、人性化品牌形象体系，现对其血站品牌形象升级采购项目进行采购。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血站品牌形象升级采购项目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标的名称：血站品牌形象升级采购项目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6"/>
            </w:pPr>
            <w:r>
              <w:rPr>
                <w:rFonts w:ascii="仿宋_GB2312" w:hAnsi="仿宋_GB2312" w:cs="仿宋_GB2312" w:eastAsia="仿宋_GB2312"/>
                <w:sz w:val="24"/>
                <w:b/>
                <w:color w:val="000000"/>
              </w:rPr>
              <w:t>一、服务内容</w:t>
            </w:r>
          </w:p>
          <w:p>
            <w:pPr>
              <w:pStyle w:val="null3"/>
              <w:ind w:firstLine="512"/>
            </w:pPr>
            <w:r>
              <w:rPr>
                <w:rFonts w:ascii="仿宋_GB2312" w:hAnsi="仿宋_GB2312" w:cs="仿宋_GB2312" w:eastAsia="仿宋_GB2312"/>
                <w:sz w:val="24"/>
                <w:color w:val="000000"/>
              </w:rPr>
              <w:t>（一）品牌视觉体系升级</w:t>
            </w:r>
          </w:p>
          <w:p>
            <w:pPr>
              <w:pStyle w:val="null3"/>
              <w:ind w:firstLine="488"/>
            </w:pPr>
            <w:r>
              <w:rPr>
                <w:rFonts w:ascii="仿宋_GB2312" w:hAnsi="仿宋_GB2312" w:cs="仿宋_GB2312" w:eastAsia="仿宋_GB2312"/>
                <w:sz w:val="24"/>
                <w:color w:val="000000"/>
              </w:rPr>
              <w:t>1．品牌标识优化设计：对血站现有品牌标识进行全面梳理、优化升级，</w:t>
            </w:r>
            <w:r>
              <w:rPr>
                <w:rFonts w:ascii="仿宋_GB2312" w:hAnsi="仿宋_GB2312" w:cs="仿宋_GB2312" w:eastAsia="仿宋_GB2312"/>
                <w:sz w:val="24"/>
                <w:color w:val="000000"/>
              </w:rPr>
              <w:t>结合血站公益、专业、生命关怀的核心定位，提供</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套全新原创品牌标识优化设计方案作为备选，最终交付</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套投入正常使用，包含标识说明、色彩释义、造型解析等完整内容。</w:t>
            </w:r>
          </w:p>
          <w:p>
            <w:pPr>
              <w:pStyle w:val="null3"/>
              <w:ind w:firstLine="508"/>
            </w:pPr>
            <w:r>
              <w:rPr>
                <w:rFonts w:ascii="仿宋_GB2312" w:hAnsi="仿宋_GB2312" w:cs="仿宋_GB2312" w:eastAsia="仿宋_GB2312"/>
                <w:sz w:val="24"/>
                <w:color w:val="000000"/>
              </w:rPr>
              <w:t>2．色彩与字体系统规范：深入调研血站品牌定位、公益行业属性及视</w:t>
            </w:r>
            <w:r>
              <w:rPr>
                <w:rFonts w:ascii="仿宋_GB2312" w:hAnsi="仿宋_GB2312" w:cs="仿宋_GB2312" w:eastAsia="仿宋_GB2312"/>
                <w:sz w:val="24"/>
                <w:color w:val="000000"/>
              </w:rPr>
              <w:t>觉传播需求，打造科学合理、辨识度高、适配多场景应用的品牌视觉体系，确定</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套品牌主色</w:t>
            </w:r>
            <w:r>
              <w:rPr>
                <w:rFonts w:ascii="仿宋_GB2312" w:hAnsi="仿宋_GB2312" w:cs="仿宋_GB2312" w:eastAsia="仿宋_GB2312"/>
                <w:sz w:val="24"/>
                <w:color w:val="000000"/>
              </w:rPr>
              <w:t>+辅助色完整配色体系，制定品牌专用字体规范（含标题</w:t>
            </w:r>
            <w:r>
              <w:rPr>
                <w:rFonts w:ascii="仿宋_GB2312" w:hAnsi="仿宋_GB2312" w:cs="仿宋_GB2312" w:eastAsia="仿宋_GB2312"/>
                <w:sz w:val="24"/>
                <w:color w:val="000000"/>
              </w:rPr>
              <w:t>字体、正文字体、中英文搭配规则）。</w:t>
            </w:r>
          </w:p>
          <w:p>
            <w:pPr>
              <w:pStyle w:val="null3"/>
              <w:ind w:firstLine="508"/>
            </w:pPr>
            <w:r>
              <w:rPr>
                <w:rFonts w:ascii="仿宋_GB2312" w:hAnsi="仿宋_GB2312" w:cs="仿宋_GB2312" w:eastAsia="仿宋_GB2312"/>
                <w:sz w:val="24"/>
                <w:color w:val="000000"/>
              </w:rPr>
              <w:t>3．视觉应用模板设计：围绕血站日常宣传、活动推广、线上线下传播</w:t>
            </w:r>
            <w:r>
              <w:rPr>
                <w:rFonts w:ascii="仿宋_GB2312" w:hAnsi="仿宋_GB2312" w:cs="仿宋_GB2312" w:eastAsia="仿宋_GB2312"/>
                <w:sz w:val="24"/>
                <w:color w:val="000000"/>
              </w:rPr>
              <w:t>需求，设计全套标准化视觉应用模板，至少包括</w:t>
            </w:r>
            <w:r>
              <w:rPr>
                <w:rFonts w:ascii="仿宋_GB2312" w:hAnsi="仿宋_GB2312" w:cs="仿宋_GB2312" w:eastAsia="仿宋_GB2312"/>
                <w:sz w:val="24"/>
                <w:color w:val="000000"/>
              </w:rPr>
              <w:t>海报、易拉宝、线上社交媒体封面模板等常用物料规范，确保全场景视觉统一。</w:t>
            </w:r>
          </w:p>
          <w:p>
            <w:pPr>
              <w:pStyle w:val="null3"/>
              <w:ind w:firstLine="512"/>
            </w:pPr>
            <w:r>
              <w:rPr>
                <w:rFonts w:ascii="仿宋_GB2312" w:hAnsi="仿宋_GB2312" w:cs="仿宋_GB2312" w:eastAsia="仿宋_GB2312"/>
                <w:sz w:val="24"/>
                <w:color w:val="000000"/>
              </w:rPr>
              <w:t>4．</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形象延展设计：拓展血站</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形象应用场景，制定完善的</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使</w:t>
            </w:r>
            <w:r>
              <w:rPr>
                <w:rFonts w:ascii="仿宋_GB2312" w:hAnsi="仿宋_GB2312" w:cs="仿宋_GB2312" w:eastAsia="仿宋_GB2312"/>
                <w:sz w:val="24"/>
                <w:color w:val="000000"/>
              </w:rPr>
              <w:t>用规范至少包括：设计</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套标准化</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形象造型、</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个常用表情动作、</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组</w:t>
            </w:r>
            <w:r>
              <w:rPr>
                <w:rFonts w:ascii="仿宋_GB2312" w:hAnsi="仿宋_GB2312" w:cs="仿宋_GB2312" w:eastAsia="仿宋_GB2312"/>
                <w:sz w:val="24"/>
                <w:color w:val="000000"/>
              </w:rPr>
              <w:t>动态化呈现方案，明确</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形象线上平台、宣传物料等场景的应用</w:t>
            </w:r>
            <w:r>
              <w:rPr>
                <w:rFonts w:ascii="仿宋_GB2312" w:hAnsi="仿宋_GB2312" w:cs="仿宋_GB2312" w:eastAsia="仿宋_GB2312"/>
                <w:sz w:val="24"/>
                <w:color w:val="000000"/>
              </w:rPr>
              <w:t>标准与使</w:t>
            </w:r>
            <w:r>
              <w:rPr>
                <w:rFonts w:ascii="仿宋_GB2312" w:hAnsi="仿宋_GB2312" w:cs="仿宋_GB2312" w:eastAsia="仿宋_GB2312"/>
                <w:sz w:val="24"/>
                <w:color w:val="000000"/>
              </w:rPr>
              <w:t>用规范。</w:t>
            </w:r>
          </w:p>
          <w:p>
            <w:pPr>
              <w:pStyle w:val="null3"/>
              <w:ind w:firstLine="512"/>
            </w:pPr>
            <w:r>
              <w:rPr>
                <w:rFonts w:ascii="仿宋_GB2312" w:hAnsi="仿宋_GB2312" w:cs="仿宋_GB2312" w:eastAsia="仿宋_GB2312"/>
                <w:sz w:val="24"/>
                <w:color w:val="000000"/>
              </w:rPr>
              <w:t>（二）品牌应用场景设计制作</w:t>
            </w:r>
          </w:p>
          <w:p>
            <w:pPr>
              <w:pStyle w:val="null3"/>
              <w:ind w:firstLine="508"/>
            </w:pPr>
            <w:r>
              <w:rPr>
                <w:rFonts w:ascii="仿宋_GB2312" w:hAnsi="仿宋_GB2312" w:cs="仿宋_GB2312" w:eastAsia="仿宋_GB2312"/>
                <w:sz w:val="24"/>
                <w:color w:val="000000"/>
              </w:rPr>
              <w:t>1．办公环境视觉布置：完成血站办公区域全流程视觉设计、制</w:t>
            </w:r>
            <w:r>
              <w:rPr>
                <w:rFonts w:ascii="仿宋_GB2312" w:hAnsi="仿宋_GB2312" w:cs="仿宋_GB2312" w:eastAsia="仿宋_GB2312"/>
                <w:sz w:val="24"/>
                <w:color w:val="000000"/>
              </w:rPr>
              <w:t>作与安</w:t>
            </w:r>
            <w:r>
              <w:rPr>
                <w:rFonts w:ascii="仿宋_GB2312" w:hAnsi="仿宋_GB2312" w:cs="仿宋_GB2312" w:eastAsia="仿宋_GB2312"/>
                <w:sz w:val="24"/>
                <w:color w:val="000000"/>
              </w:rPr>
              <w:t>装，包括献血大厅（面积：</w:t>
            </w:r>
            <w:r>
              <w:rPr>
                <w:rFonts w:ascii="仿宋_GB2312" w:hAnsi="仿宋_GB2312" w:cs="仿宋_GB2312" w:eastAsia="仿宋_GB2312"/>
                <w:sz w:val="24"/>
                <w:color w:val="000000"/>
              </w:rPr>
              <w:t>14.6m*30.8m*</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层）整体视觉布置、灯光氛围、</w:t>
            </w:r>
            <w:r>
              <w:rPr>
                <w:rFonts w:ascii="仿宋_GB2312" w:hAnsi="仿宋_GB2312" w:cs="仿宋_GB2312" w:eastAsia="仿宋_GB2312"/>
                <w:sz w:val="24"/>
                <w:color w:val="000000"/>
              </w:rPr>
              <w:t>科室标识牌</w:t>
            </w: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个、报告厅背景墙设计制作安装；同</w:t>
            </w:r>
            <w:r>
              <w:rPr>
                <w:rFonts w:ascii="仿宋_GB2312" w:hAnsi="仿宋_GB2312" w:cs="仿宋_GB2312" w:eastAsia="仿宋_GB2312"/>
                <w:sz w:val="24"/>
                <w:color w:val="000000"/>
              </w:rPr>
              <w:t>步完成办公区域绿植</w:t>
            </w:r>
            <w:r>
              <w:rPr>
                <w:rFonts w:ascii="仿宋_GB2312" w:hAnsi="仿宋_GB2312" w:cs="仿宋_GB2312" w:eastAsia="仿宋_GB2312"/>
                <w:sz w:val="24"/>
                <w:color w:val="000000"/>
              </w:rPr>
              <w:t>标签、文件柜标识、办公类小型视觉物料的设计与制作。</w:t>
            </w:r>
          </w:p>
          <w:p>
            <w:pPr>
              <w:pStyle w:val="null3"/>
              <w:ind w:firstLine="512"/>
            </w:pPr>
            <w:r>
              <w:rPr>
                <w:rFonts w:ascii="仿宋_GB2312" w:hAnsi="仿宋_GB2312" w:cs="仿宋_GB2312" w:eastAsia="仿宋_GB2312"/>
                <w:sz w:val="24"/>
                <w:color w:val="000000"/>
              </w:rPr>
              <w:t>2．献血场所氛围营造：针对献血大厅、献血屋等血站重点</w:t>
            </w:r>
            <w:r>
              <w:rPr>
                <w:rFonts w:ascii="仿宋_GB2312" w:hAnsi="仿宋_GB2312" w:cs="仿宋_GB2312" w:eastAsia="仿宋_GB2312"/>
                <w:sz w:val="24"/>
                <w:color w:val="000000"/>
              </w:rPr>
              <w:t>服务场所，</w:t>
            </w:r>
            <w:r>
              <w:rPr>
                <w:rFonts w:ascii="仿宋_GB2312" w:hAnsi="仿宋_GB2312" w:cs="仿宋_GB2312" w:eastAsia="仿宋_GB2312"/>
                <w:sz w:val="24"/>
                <w:color w:val="000000"/>
              </w:rPr>
              <w:t>完成导视系统设计、制作与安装，满足入口指</w:t>
            </w:r>
            <w:r>
              <w:rPr>
                <w:rFonts w:ascii="仿宋_GB2312" w:hAnsi="仿宋_GB2312" w:cs="仿宋_GB2312" w:eastAsia="仿宋_GB2312"/>
                <w:sz w:val="24"/>
                <w:color w:val="000000"/>
              </w:rPr>
              <w:t>引、献血流程标识、功能区</w:t>
            </w:r>
            <w:r>
              <w:rPr>
                <w:rFonts w:ascii="仿宋_GB2312" w:hAnsi="仿宋_GB2312" w:cs="仿宋_GB2312" w:eastAsia="仿宋_GB2312"/>
                <w:sz w:val="24"/>
                <w:color w:val="000000"/>
              </w:rPr>
              <w:t>域划分、温馨提示等主要功能，打造专业、温馨、便捷的献血服务环境，</w:t>
            </w:r>
            <w:r>
              <w:rPr>
                <w:rFonts w:ascii="仿宋_GB2312" w:hAnsi="仿宋_GB2312" w:cs="仿宋_GB2312" w:eastAsia="仿宋_GB2312"/>
                <w:sz w:val="24"/>
                <w:color w:val="000000"/>
              </w:rPr>
              <w:t>强化品牌沉浸式体验。</w:t>
            </w:r>
          </w:p>
          <w:p>
            <w:pPr>
              <w:pStyle w:val="null3"/>
              <w:ind w:firstLine="502"/>
            </w:pPr>
            <w:r>
              <w:rPr>
                <w:rFonts w:ascii="仿宋_GB2312" w:hAnsi="仿宋_GB2312" w:cs="仿宋_GB2312" w:eastAsia="仿宋_GB2312"/>
                <w:sz w:val="24"/>
                <w:b/>
                <w:color w:val="000000"/>
              </w:rPr>
              <w:t>二、技术要求：</w:t>
            </w:r>
          </w:p>
          <w:p>
            <w:pPr>
              <w:pStyle w:val="null3"/>
              <w:ind w:firstLine="516"/>
            </w:pPr>
            <w:r>
              <w:rPr>
                <w:rFonts w:ascii="仿宋_GB2312" w:hAnsi="仿宋_GB2312" w:cs="仿宋_GB2312" w:eastAsia="仿宋_GB2312"/>
                <w:sz w:val="24"/>
                <w:color w:val="000000"/>
              </w:rPr>
              <w:t>1.所有设计作品需为原创，不得侵犯第三方著作权、商</w:t>
            </w:r>
            <w:r>
              <w:rPr>
                <w:rFonts w:ascii="仿宋_GB2312" w:hAnsi="仿宋_GB2312" w:cs="仿宋_GB2312" w:eastAsia="仿宋_GB2312"/>
                <w:sz w:val="24"/>
                <w:color w:val="000000"/>
              </w:rPr>
              <w:t>标权、专利权</w:t>
            </w:r>
            <w:r>
              <w:rPr>
                <w:rFonts w:ascii="仿宋_GB2312" w:hAnsi="仿宋_GB2312" w:cs="仿宋_GB2312" w:eastAsia="仿宋_GB2312"/>
                <w:sz w:val="24"/>
                <w:color w:val="000000"/>
              </w:rPr>
              <w:t>等任何知识产权，本项目所涉及到的设计版权归</w:t>
            </w:r>
            <w:r>
              <w:rPr>
                <w:rFonts w:ascii="仿宋_GB2312" w:hAnsi="仿宋_GB2312" w:cs="仿宋_GB2312" w:eastAsia="仿宋_GB2312"/>
                <w:sz w:val="24"/>
                <w:color w:val="000000"/>
              </w:rPr>
              <w:t>西安市中心血站所有，若</w:t>
            </w:r>
            <w:r>
              <w:rPr>
                <w:rFonts w:ascii="仿宋_GB2312" w:hAnsi="仿宋_GB2312" w:cs="仿宋_GB2312" w:eastAsia="仿宋_GB2312"/>
                <w:sz w:val="24"/>
                <w:color w:val="000000"/>
              </w:rPr>
              <w:t>涉及知识产权纠纷，</w:t>
            </w:r>
            <w:r>
              <w:rPr>
                <w:rFonts w:ascii="仿宋_GB2312" w:hAnsi="仿宋_GB2312" w:cs="仿宋_GB2312" w:eastAsia="仿宋_GB2312"/>
              </w:rPr>
              <w:t xml:space="preserve"> </w:t>
            </w:r>
            <w:r>
              <w:rPr>
                <w:rFonts w:ascii="仿宋_GB2312" w:hAnsi="仿宋_GB2312" w:cs="仿宋_GB2312" w:eastAsia="仿宋_GB2312"/>
                <w:sz w:val="24"/>
                <w:color w:val="000000"/>
              </w:rPr>
              <w:t>由服务商承担全部法律责任及经济损失。乙方不得将</w:t>
            </w:r>
            <w:r>
              <w:rPr>
                <w:rFonts w:ascii="仿宋_GB2312" w:hAnsi="仿宋_GB2312" w:cs="仿宋_GB2312" w:eastAsia="仿宋_GB2312"/>
                <w:sz w:val="24"/>
                <w:color w:val="000000"/>
              </w:rPr>
              <w:t>本项目设计用于其他项目、宣传、案例展示，除</w:t>
            </w:r>
            <w:r>
              <w:rPr>
                <w:rFonts w:ascii="仿宋_GB2312" w:hAnsi="仿宋_GB2312" w:cs="仿宋_GB2312" w:eastAsia="仿宋_GB2312"/>
                <w:sz w:val="24"/>
                <w:color w:val="000000"/>
              </w:rPr>
              <w:t>非甲方书面同意。侵权导</w:t>
            </w:r>
            <w:r>
              <w:rPr>
                <w:rFonts w:ascii="仿宋_GB2312" w:hAnsi="仿宋_GB2312" w:cs="仿宋_GB2312" w:eastAsia="仿宋_GB2312"/>
                <w:sz w:val="24"/>
                <w:color w:val="000000"/>
              </w:rPr>
              <w:t>致甲方损失的，乙方除赔偿全额实际损失外</w:t>
            </w:r>
            <w:r>
              <w:rPr>
                <w:rFonts w:ascii="仿宋_GB2312" w:hAnsi="仿宋_GB2312" w:cs="仿宋_GB2312" w:eastAsia="仿宋_GB2312"/>
                <w:sz w:val="24"/>
                <w:color w:val="000000"/>
              </w:rPr>
              <w:t>，还应支付合同价</w:t>
            </w:r>
            <w:r>
              <w:rPr>
                <w:rFonts w:ascii="仿宋_GB2312" w:hAnsi="仿宋_GB2312" w:cs="仿宋_GB2312" w:eastAsia="仿宋_GB2312"/>
              </w:rPr>
              <w:t xml:space="preserve"> </w:t>
            </w:r>
            <w:r>
              <w:rPr>
                <w:rFonts w:ascii="仿宋_GB2312" w:hAnsi="仿宋_GB2312" w:cs="仿宋_GB2312" w:eastAsia="仿宋_GB2312"/>
                <w:sz w:val="24"/>
                <w:color w:val="000000"/>
              </w:rPr>
              <w:t>20%违约金。</w:t>
            </w:r>
          </w:p>
          <w:p>
            <w:pPr>
              <w:pStyle w:val="null3"/>
              <w:ind w:firstLine="516"/>
            </w:pPr>
            <w:r>
              <w:rPr>
                <w:rFonts w:ascii="仿宋_GB2312" w:hAnsi="仿宋_GB2312" w:cs="仿宋_GB2312" w:eastAsia="仿宋_GB2312"/>
                <w:sz w:val="24"/>
                <w:color w:val="000000"/>
              </w:rPr>
              <w:t>2.品牌标识、</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形象设计需符合国家公益行业、卫</w:t>
            </w:r>
            <w:r>
              <w:rPr>
                <w:rFonts w:ascii="仿宋_GB2312" w:hAnsi="仿宋_GB2312" w:cs="仿宋_GB2312" w:eastAsia="仿宋_GB2312"/>
                <w:sz w:val="24"/>
                <w:color w:val="000000"/>
              </w:rPr>
              <w:t>生健康机构视觉设</w:t>
            </w:r>
            <w:r>
              <w:rPr>
                <w:rFonts w:ascii="仿宋_GB2312" w:hAnsi="仿宋_GB2312" w:cs="仿宋_GB2312" w:eastAsia="仿宋_GB2312"/>
                <w:sz w:val="24"/>
                <w:color w:val="000000"/>
              </w:rPr>
              <w:t>计规范，贴合血站生命公益、专业医疗、人文关</w:t>
            </w:r>
            <w:r>
              <w:rPr>
                <w:rFonts w:ascii="仿宋_GB2312" w:hAnsi="仿宋_GB2312" w:cs="仿宋_GB2312" w:eastAsia="仿宋_GB2312"/>
                <w:sz w:val="24"/>
                <w:color w:val="000000"/>
              </w:rPr>
              <w:t>怀的核心定位，视觉效果</w:t>
            </w:r>
            <w:r>
              <w:rPr>
                <w:rFonts w:ascii="仿宋_GB2312" w:hAnsi="仿宋_GB2312" w:cs="仿宋_GB2312" w:eastAsia="仿宋_GB2312"/>
                <w:sz w:val="24"/>
                <w:color w:val="000000"/>
              </w:rPr>
              <w:t>简洁大气、辨识度高、易于传播与落地制作。</w:t>
            </w:r>
          </w:p>
          <w:p>
            <w:pPr>
              <w:pStyle w:val="null3"/>
              <w:ind w:firstLine="512"/>
            </w:pPr>
            <w:r>
              <w:rPr>
                <w:rFonts w:ascii="仿宋_GB2312" w:hAnsi="仿宋_GB2312" w:cs="仿宋_GB2312" w:eastAsia="仿宋_GB2312"/>
                <w:sz w:val="24"/>
                <w:color w:val="000000"/>
              </w:rPr>
              <w:t>3.色彩、字体规范需具备通用性与实用性，适配印刷、喷绘</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电子屏</w:t>
            </w:r>
            <w:r>
              <w:rPr>
                <w:rFonts w:ascii="仿宋_GB2312" w:hAnsi="仿宋_GB2312" w:cs="仿宋_GB2312" w:eastAsia="仿宋_GB2312"/>
                <w:sz w:val="24"/>
                <w:color w:val="000000"/>
              </w:rPr>
              <w:t>幕、线上传播等多种应用场景，确保不同材质、</w:t>
            </w:r>
            <w:r>
              <w:rPr>
                <w:rFonts w:ascii="仿宋_GB2312" w:hAnsi="仿宋_GB2312" w:cs="仿宋_GB2312" w:eastAsia="仿宋_GB2312"/>
                <w:sz w:val="24"/>
                <w:color w:val="000000"/>
              </w:rPr>
              <w:t>不同载体下色彩还原度一</w:t>
            </w:r>
            <w:r>
              <w:rPr>
                <w:rFonts w:ascii="仿宋_GB2312" w:hAnsi="仿宋_GB2312" w:cs="仿宋_GB2312" w:eastAsia="仿宋_GB2312"/>
                <w:sz w:val="24"/>
                <w:color w:val="000000"/>
              </w:rPr>
              <w:t>致、视觉效果统一。</w:t>
            </w:r>
          </w:p>
          <w:p>
            <w:pPr>
              <w:pStyle w:val="null3"/>
              <w:ind w:firstLine="520"/>
            </w:pPr>
            <w:r>
              <w:rPr>
                <w:rFonts w:ascii="仿宋_GB2312" w:hAnsi="仿宋_GB2312" w:cs="仿宋_GB2312" w:eastAsia="仿宋_GB2312"/>
                <w:sz w:val="24"/>
                <w:color w:val="000000"/>
              </w:rPr>
              <w:t>4.视觉应用模板、导视系统设计需兼顾实用性与</w:t>
            </w:r>
            <w:r>
              <w:rPr>
                <w:rFonts w:ascii="仿宋_GB2312" w:hAnsi="仿宋_GB2312" w:cs="仿宋_GB2312" w:eastAsia="仿宋_GB2312"/>
                <w:sz w:val="24"/>
                <w:color w:val="000000"/>
              </w:rPr>
              <w:t>美观性，尺寸规范、版式清晰，便于血站后续自主修改、批量制作与日常更新；</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动态化方案</w:t>
            </w:r>
            <w:r>
              <w:rPr>
                <w:rFonts w:ascii="仿宋_GB2312" w:hAnsi="仿宋_GB2312" w:cs="仿宋_GB2312" w:eastAsia="仿宋_GB2312"/>
                <w:sz w:val="24"/>
                <w:color w:val="000000"/>
              </w:rPr>
              <w:t>需适配主流社交媒体、短视频平台传播。</w:t>
            </w:r>
          </w:p>
          <w:p>
            <w:pPr>
              <w:pStyle w:val="null3"/>
              <w:ind w:firstLine="516"/>
            </w:pPr>
            <w:r>
              <w:rPr>
                <w:rFonts w:ascii="仿宋_GB2312" w:hAnsi="仿宋_GB2312" w:cs="仿宋_GB2312" w:eastAsia="仿宋_GB2312"/>
                <w:sz w:val="24"/>
                <w:color w:val="000000"/>
              </w:rPr>
              <w:t>5.所有设计成果形成《西安市中心血站品牌视觉使用手册》，并提供</w:t>
            </w:r>
            <w:r>
              <w:rPr>
                <w:rFonts w:ascii="仿宋_GB2312" w:hAnsi="仿宋_GB2312" w:cs="仿宋_GB2312" w:eastAsia="仿宋_GB2312"/>
                <w:sz w:val="24"/>
                <w:color w:val="000000"/>
              </w:rPr>
              <w:t>矢量源文件（</w:t>
            </w:r>
            <w:r>
              <w:rPr>
                <w:rFonts w:ascii="仿宋_GB2312" w:hAnsi="仿宋_GB2312" w:cs="仿宋_GB2312" w:eastAsia="仿宋_GB2312"/>
                <w:sz w:val="24"/>
                <w:color w:val="000000"/>
              </w:rPr>
              <w:t>AI</w:t>
            </w:r>
            <w:r>
              <w:rPr>
                <w:rFonts w:ascii="仿宋_GB2312" w:hAnsi="仿宋_GB2312" w:cs="仿宋_GB2312" w:eastAsia="仿宋_GB2312"/>
                <w:sz w:val="24"/>
                <w:color w:val="000000"/>
              </w:rPr>
              <w:t>、</w:t>
            </w:r>
            <w:r>
              <w:rPr>
                <w:rFonts w:ascii="仿宋_GB2312" w:hAnsi="仿宋_GB2312" w:cs="仿宋_GB2312" w:eastAsia="仿宋_GB2312"/>
                <w:sz w:val="24"/>
                <w:color w:val="000000"/>
              </w:rPr>
              <w:t>CDR</w:t>
            </w:r>
            <w:r>
              <w:rPr>
                <w:rFonts w:ascii="仿宋_GB2312" w:hAnsi="仿宋_GB2312" w:cs="仿宋_GB2312" w:eastAsia="仿宋_GB2312"/>
              </w:rPr>
              <w:t xml:space="preserve"> </w:t>
            </w:r>
            <w:r>
              <w:rPr>
                <w:rFonts w:ascii="仿宋_GB2312" w:hAnsi="仿宋_GB2312" w:cs="仿宋_GB2312" w:eastAsia="仿宋_GB2312"/>
                <w:sz w:val="24"/>
                <w:color w:val="000000"/>
              </w:rPr>
              <w:t>等格式）、高清图片文件（</w:t>
            </w:r>
            <w:r>
              <w:rPr>
                <w:rFonts w:ascii="仿宋_GB2312" w:hAnsi="仿宋_GB2312" w:cs="仿宋_GB2312" w:eastAsia="仿宋_GB2312"/>
                <w:sz w:val="24"/>
                <w:color w:val="000000"/>
              </w:rPr>
              <w:t>PNG</w:t>
            </w:r>
            <w:r>
              <w:rPr>
                <w:rFonts w:ascii="仿宋_GB2312" w:hAnsi="仿宋_GB2312" w:cs="仿宋_GB2312" w:eastAsia="仿宋_GB2312"/>
                <w:sz w:val="24"/>
                <w:color w:val="000000"/>
              </w:rPr>
              <w:t>、</w:t>
            </w:r>
            <w:r>
              <w:rPr>
                <w:rFonts w:ascii="仿宋_GB2312" w:hAnsi="仿宋_GB2312" w:cs="仿宋_GB2312" w:eastAsia="仿宋_GB2312"/>
                <w:sz w:val="24"/>
                <w:color w:val="000000"/>
              </w:rPr>
              <w:t>JPG</w:t>
            </w:r>
            <w:r>
              <w:rPr>
                <w:rFonts w:ascii="仿宋_GB2312" w:hAnsi="仿宋_GB2312" w:cs="仿宋_GB2312" w:eastAsia="仿宋_GB2312"/>
              </w:rPr>
              <w:t xml:space="preserve"> </w:t>
            </w:r>
            <w:r>
              <w:rPr>
                <w:rFonts w:ascii="仿宋_GB2312" w:hAnsi="仿宋_GB2312" w:cs="仿宋_GB2312" w:eastAsia="仿宋_GB2312"/>
                <w:sz w:val="24"/>
                <w:color w:val="000000"/>
              </w:rPr>
              <w:t>格式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字体、</w:t>
            </w:r>
            <w:r>
              <w:rPr>
                <w:rFonts w:ascii="仿宋_GB2312" w:hAnsi="仿宋_GB2312" w:cs="仿宋_GB2312" w:eastAsia="仿宋_GB2312"/>
                <w:sz w:val="24"/>
                <w:color w:val="000000"/>
              </w:rPr>
              <w:t>色彩参数标注清晰，方便后续修改、延展使</w:t>
            </w:r>
            <w:r>
              <w:rPr>
                <w:rFonts w:ascii="仿宋_GB2312" w:hAnsi="仿宋_GB2312" w:cs="仿宋_GB2312" w:eastAsia="仿宋_GB2312"/>
                <w:sz w:val="24"/>
                <w:color w:val="000000"/>
              </w:rPr>
              <w:t>用。</w:t>
            </w:r>
          </w:p>
          <w:p>
            <w:pPr>
              <w:pStyle w:val="null3"/>
              <w:ind w:firstLine="516"/>
            </w:pPr>
            <w:r>
              <w:rPr>
                <w:rFonts w:ascii="仿宋_GB2312" w:hAnsi="仿宋_GB2312" w:cs="仿宋_GB2312" w:eastAsia="仿宋_GB2312"/>
                <w:sz w:val="24"/>
                <w:color w:val="000000"/>
              </w:rPr>
              <w:t>6.现场制作安装需符合国家室内装饰、标识标牌制作安装安全规范，</w:t>
            </w:r>
            <w:r>
              <w:rPr>
                <w:rFonts w:ascii="仿宋_GB2312" w:hAnsi="仿宋_GB2312" w:cs="仿宋_GB2312" w:eastAsia="仿宋_GB2312"/>
                <w:sz w:val="24"/>
                <w:color w:val="000000"/>
              </w:rPr>
              <w:t>选用环保、耐用、易清洁的材质，适配血站医疗</w:t>
            </w:r>
            <w:r>
              <w:rPr>
                <w:rFonts w:ascii="仿宋_GB2312" w:hAnsi="仿宋_GB2312" w:cs="仿宋_GB2312" w:eastAsia="仿宋_GB2312"/>
                <w:sz w:val="24"/>
                <w:color w:val="000000"/>
              </w:rPr>
              <w:t>场所卫生、安全、美观的</w:t>
            </w:r>
            <w:r>
              <w:rPr>
                <w:rFonts w:ascii="仿宋_GB2312" w:hAnsi="仿宋_GB2312" w:cs="仿宋_GB2312" w:eastAsia="仿宋_GB2312"/>
                <w:sz w:val="24"/>
                <w:color w:val="000000"/>
              </w:rPr>
              <w:t>要求，施工过程无安全隐患。</w:t>
            </w:r>
          </w:p>
          <w:p>
            <w:pPr>
              <w:pStyle w:val="null3"/>
              <w:ind w:firstLine="502"/>
            </w:pPr>
            <w:r>
              <w:rPr>
                <w:rFonts w:ascii="仿宋_GB2312" w:hAnsi="仿宋_GB2312" w:cs="仿宋_GB2312" w:eastAsia="仿宋_GB2312"/>
                <w:sz w:val="24"/>
                <w:b/>
                <w:color w:val="000000"/>
              </w:rPr>
              <w:t>三、服务要求：</w:t>
            </w:r>
          </w:p>
          <w:p>
            <w:pPr>
              <w:pStyle w:val="null3"/>
              <w:ind w:firstLine="508"/>
            </w:pPr>
            <w:r>
              <w:rPr>
                <w:rFonts w:ascii="仿宋_GB2312" w:hAnsi="仿宋_GB2312" w:cs="仿宋_GB2312" w:eastAsia="仿宋_GB2312"/>
                <w:sz w:val="24"/>
                <w:color w:val="000000"/>
              </w:rPr>
              <w:t>1.服务商需组建专属项目服务团队(至少包括</w:t>
            </w:r>
            <w:r>
              <w:rPr>
                <w:rFonts w:ascii="仿宋_GB2312" w:hAnsi="仿宋_GB2312" w:cs="仿宋_GB2312" w:eastAsia="仿宋_GB2312"/>
                <w:sz w:val="24"/>
                <w:color w:val="000000"/>
              </w:rPr>
              <w:t>：文案人员、视觉执行</w:t>
            </w:r>
            <w:r>
              <w:rPr>
                <w:rFonts w:ascii="仿宋_GB2312" w:hAnsi="仿宋_GB2312" w:cs="仿宋_GB2312" w:eastAsia="仿宋_GB2312"/>
                <w:sz w:val="24"/>
                <w:color w:val="000000"/>
              </w:rPr>
              <w:t>人员、创意策划人员、执行专员等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指定项目负责人全程对接，团队成</w:t>
            </w:r>
            <w:r>
              <w:rPr>
                <w:rFonts w:ascii="仿宋_GB2312" w:hAnsi="仿宋_GB2312" w:cs="仿宋_GB2312" w:eastAsia="仿宋_GB2312"/>
                <w:sz w:val="24"/>
                <w:color w:val="000000"/>
              </w:rPr>
              <w:t>员需具备丰富的政务</w:t>
            </w:r>
            <w:r>
              <w:rPr>
                <w:rFonts w:ascii="仿宋_GB2312" w:hAnsi="仿宋_GB2312" w:cs="仿宋_GB2312" w:eastAsia="仿宋_GB2312"/>
                <w:sz w:val="24"/>
                <w:color w:val="000000"/>
              </w:rPr>
              <w:t>/公益类品牌设计、空间视觉布置服务经验，确保项目</w:t>
            </w:r>
            <w:r>
              <w:rPr>
                <w:rFonts w:ascii="仿宋_GB2312" w:hAnsi="仿宋_GB2312" w:cs="仿宋_GB2312" w:eastAsia="仿宋_GB2312"/>
                <w:sz w:val="24"/>
                <w:color w:val="000000"/>
              </w:rPr>
              <w:t>高效推进，上述人员不得随意变更。</w:t>
            </w:r>
          </w:p>
          <w:p>
            <w:pPr>
              <w:pStyle w:val="null3"/>
              <w:ind w:firstLine="516"/>
            </w:pPr>
            <w:r>
              <w:rPr>
                <w:rFonts w:ascii="仿宋_GB2312" w:hAnsi="仿宋_GB2312" w:cs="仿宋_GB2312" w:eastAsia="仿宋_GB2312"/>
                <w:sz w:val="24"/>
                <w:color w:val="000000"/>
              </w:rPr>
              <w:t>2.服务前期需安排专人赴血站开展全方位现场调研，深入了解血站品</w:t>
            </w:r>
            <w:r>
              <w:rPr>
                <w:rFonts w:ascii="仿宋_GB2312" w:hAnsi="仿宋_GB2312" w:cs="仿宋_GB2312" w:eastAsia="仿宋_GB2312"/>
                <w:sz w:val="24"/>
                <w:color w:val="000000"/>
              </w:rPr>
              <w:t>牌定位、场所布局、服务流程、宣传需求，结</w:t>
            </w:r>
            <w:r>
              <w:rPr>
                <w:rFonts w:ascii="仿宋_GB2312" w:hAnsi="仿宋_GB2312" w:cs="仿宋_GB2312" w:eastAsia="仿宋_GB2312"/>
                <w:sz w:val="24"/>
                <w:color w:val="000000"/>
              </w:rPr>
              <w:t>合实际情况定制化设计，杜</w:t>
            </w:r>
            <w:r>
              <w:rPr>
                <w:rFonts w:ascii="仿宋_GB2312" w:hAnsi="仿宋_GB2312" w:cs="仿宋_GB2312" w:eastAsia="仿宋_GB2312"/>
                <w:sz w:val="24"/>
                <w:color w:val="000000"/>
              </w:rPr>
              <w:t>绝脱离实际的方案设计。</w:t>
            </w:r>
          </w:p>
          <w:p>
            <w:pPr>
              <w:pStyle w:val="null3"/>
              <w:ind w:firstLine="512"/>
            </w:pPr>
            <w:r>
              <w:rPr>
                <w:rFonts w:ascii="仿宋_GB2312" w:hAnsi="仿宋_GB2312" w:cs="仿宋_GB2312" w:eastAsia="仿宋_GB2312"/>
                <w:sz w:val="24"/>
                <w:color w:val="000000"/>
              </w:rPr>
              <w:t>3.设计方案需按采购方要求及时调整优化，品牌标识、</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形象等核心</w:t>
            </w:r>
            <w:r>
              <w:rPr>
                <w:rFonts w:ascii="仿宋_GB2312" w:hAnsi="仿宋_GB2312" w:cs="仿宋_GB2312" w:eastAsia="仿宋_GB2312"/>
                <w:sz w:val="24"/>
                <w:color w:val="000000"/>
              </w:rPr>
              <w:t>方案需充分征求采购方意见，直至采购方确认满意</w:t>
            </w:r>
            <w:r>
              <w:rPr>
                <w:rFonts w:ascii="仿宋_GB2312" w:hAnsi="仿宋_GB2312" w:cs="仿宋_GB2312" w:eastAsia="仿宋_GB2312"/>
                <w:sz w:val="24"/>
                <w:color w:val="000000"/>
              </w:rPr>
              <w:t>；项目全过程需定期汇</w:t>
            </w:r>
            <w:r>
              <w:rPr>
                <w:rFonts w:ascii="仿宋_GB2312" w:hAnsi="仿宋_GB2312" w:cs="仿宋_GB2312" w:eastAsia="仿宋_GB2312"/>
                <w:sz w:val="24"/>
                <w:color w:val="000000"/>
              </w:rPr>
              <w:t>报进度，及时沟通解决问题。</w:t>
            </w:r>
          </w:p>
          <w:p>
            <w:pPr>
              <w:pStyle w:val="null3"/>
              <w:ind w:firstLine="516"/>
            </w:pPr>
            <w:r>
              <w:rPr>
                <w:rFonts w:ascii="仿宋_GB2312" w:hAnsi="仿宋_GB2312" w:cs="仿宋_GB2312" w:eastAsia="仿宋_GB2312"/>
                <w:sz w:val="24"/>
                <w:color w:val="000000"/>
              </w:rPr>
              <w:t>4.制作安装环节需遵守血站办公、医疗服务管理规定，合理安排施工时间（优先选择非工作日、非采血高峰时段</w:t>
            </w:r>
            <w:r>
              <w:rPr>
                <w:rFonts w:ascii="仿宋_GB2312" w:hAnsi="仿宋_GB2312" w:cs="仿宋_GB2312" w:eastAsia="仿宋_GB2312"/>
                <w:sz w:val="24"/>
                <w:color w:val="000000"/>
              </w:rPr>
              <w:t>），</w:t>
            </w:r>
            <w:r>
              <w:rPr>
                <w:rFonts w:ascii="仿宋_GB2312" w:hAnsi="仿宋_GB2312" w:cs="仿宋_GB2312" w:eastAsia="仿宋_GB2312"/>
                <w:sz w:val="24"/>
                <w:color w:val="000000"/>
              </w:rPr>
              <w:t>避免影响血站正常工作与</w:t>
            </w:r>
            <w:r>
              <w:rPr>
                <w:rFonts w:ascii="仿宋_GB2312" w:hAnsi="仿宋_GB2312" w:cs="仿宋_GB2312" w:eastAsia="仿宋_GB2312"/>
                <w:sz w:val="24"/>
                <w:color w:val="000000"/>
              </w:rPr>
              <w:t>献血服务，施工期间做好现场安全防护、卫生清洁，完</w:t>
            </w:r>
            <w:r>
              <w:rPr>
                <w:rFonts w:ascii="仿宋_GB2312" w:hAnsi="仿宋_GB2312" w:cs="仿宋_GB2312" w:eastAsia="仿宋_GB2312"/>
                <w:sz w:val="24"/>
                <w:color w:val="000000"/>
              </w:rPr>
              <w:t>工后全面清理现场。</w:t>
            </w:r>
          </w:p>
          <w:p>
            <w:pPr>
              <w:pStyle w:val="null3"/>
              <w:ind w:firstLine="512"/>
            </w:pPr>
            <w:r>
              <w:rPr>
                <w:rFonts w:ascii="仿宋_GB2312" w:hAnsi="仿宋_GB2312" w:cs="仿宋_GB2312" w:eastAsia="仿宋_GB2312"/>
                <w:sz w:val="24"/>
                <w:color w:val="000000"/>
              </w:rPr>
              <w:t>5.项目交付后，提供至少</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年免费售后服务，针对设计成果使用、物料维护等问题提供专业指导，接到采购方咨询、维修需求后，</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小时内响</w:t>
            </w:r>
            <w:r>
              <w:rPr>
                <w:rFonts w:ascii="仿宋_GB2312" w:hAnsi="仿宋_GB2312" w:cs="仿宋_GB2312" w:eastAsia="仿宋_GB2312"/>
                <w:sz w:val="24"/>
                <w:color w:val="000000"/>
              </w:rPr>
              <w:t>应，</w:t>
            </w:r>
            <w:r>
              <w:rPr>
                <w:rFonts w:ascii="仿宋_GB2312" w:hAnsi="仿宋_GB2312" w:cs="仿宋_GB2312" w:eastAsia="仿宋_GB2312"/>
                <w:sz w:val="24"/>
                <w:color w:val="000000"/>
              </w:rPr>
              <w:t>48</w:t>
            </w:r>
            <w:r>
              <w:rPr>
                <w:rFonts w:ascii="仿宋_GB2312" w:hAnsi="仿宋_GB2312" w:cs="仿宋_GB2312" w:eastAsia="仿宋_GB2312"/>
              </w:rPr>
              <w:t xml:space="preserve"> </w:t>
            </w:r>
            <w:r>
              <w:rPr>
                <w:rFonts w:ascii="仿宋_GB2312" w:hAnsi="仿宋_GB2312" w:cs="仿宋_GB2312" w:eastAsia="仿宋_GB2312"/>
                <w:sz w:val="24"/>
                <w:color w:val="000000"/>
              </w:rPr>
              <w:t>小时内上门处理。</w:t>
            </w:r>
          </w:p>
          <w:p>
            <w:pPr>
              <w:pStyle w:val="null3"/>
              <w:ind w:firstLine="504"/>
              <w:jc w:val="left"/>
            </w:pPr>
            <w:r>
              <w:rPr>
                <w:rFonts w:ascii="仿宋_GB2312" w:hAnsi="仿宋_GB2312" w:cs="仿宋_GB2312" w:eastAsia="仿宋_GB2312"/>
                <w:sz w:val="24"/>
                <w:color w:val="000000"/>
              </w:rPr>
              <w:t>6.服务商需严格按照采购方要求的时间节点完成方案设计、修改确认、</w:t>
            </w:r>
            <w:r>
              <w:rPr>
                <w:rFonts w:ascii="仿宋_GB2312" w:hAnsi="仿宋_GB2312" w:cs="仿宋_GB2312" w:eastAsia="仿宋_GB2312"/>
                <w:sz w:val="24"/>
                <w:color w:val="000000"/>
              </w:rPr>
              <w:t>制作安装、项目交付全流程工作，确保项目按期保质完成。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自合同签订之日起1年内完成所有相关服务。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（1）验收方式：项目完成后， 由采购方组织验收小组，严格按照以下标准开展验收： 品牌视觉体系验收：品牌标识、色彩字体、应用模板、IP 形象等设计成果形成《西安市中心血站品牌视觉使用手册》，完全符合本需求框架及双方确认的最终方案，知识产权归属清晰无纠纷。 品牌应用场景设计制作验收：所有标识牌、导视系统、背景墙等物料，材质符合约定标准，做工精细、安装牢固、尺寸精准、无破损瑕疵，色彩与设计方案一致，符合血站医疗场所卫生、安全规范。 整体验收：项目全部内容完成，满足血站品牌升级、视觉统一、场景应用需求，供应商交付矢量源文件（AI 、CDR 等格式）、高清图片文件（PNG 、JPG 格式），字体、色彩参数标注清晰，方便后续修改、延展使用，验收小组核查无误后，签署验收合格意见；若存在不合格项，服务商需在 7 个日历天内整改完毕，重新验收。 若经两次整改仍无法通过最终验收，甲方有权单方解除合同，并要求乙方退还已支付的全部款项，同时赔偿因此给甲方造成的全部损失。 （2）考核办法：根据西安市中心血站相关考评工作进行考核。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（1）预付款：合同签订后 30 日内，采购人向供应商支付合同总价款的 40%，作为项目启动预付款，供应商需签订本合同后立即按约定开展工作</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（2）进度款：供应商完成项目主体内容并交付，经采购人初步验收合格，且供应商提交阶段性验收单及服务总结报告后 30 日内，采购人向供应商支付合同总价款的 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（3）尾款：项目整体交付完毕、经采购人最终全部验收合格，供应商提交最终验收单及全部服务总结报告后 30 日内，采购人向供应商支付合同总价款的 10%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（1）合同双方应严格遵守约定，任何一方违约，应依据《中华人民共和国民法典》及本合同约定承担违约责任。 （2）若供应商未能按本合同约定的交付周期提交设计成果或完成现场安装，每逾期一日，应向采购人支付合同总价款千分之三的违约金。若逾期超过十五日时，采购人有权单方书面通知供应商解除本合同（采购人解除函送达后立即生效），并要求供应商支付合同总价款百分之十的违约金。 （3）供应商提交的设计方案、制作物料等成果不符合本合同约定的技术要求、材质标准或验收标准，经采购人提出意见后，供应商应在 7 日内无偿修改或更换。若修改或更换后的成果仍无法通过采购人验收，采购人有权单方解除本合同，并要求供应商支付合同总价款百分之十的违约金。 （4）供应商保证其提供的所有设计成果（包括品牌标识、IP 形象、字体、应用模板等）均为原创或已获得合法授权，绝不侵犯任何第三方的知识产权（包括但不限于著作权、商标权、专利权）。若因供应商设计成果侵犯第三方权益导致采购人被索赔、被起诉或遭受行政处罚的，供应商应承担全部法律责任和经济损失（包括且不限于采购人为维权所支出的诉讼费、律师费、保全费、保函费、鉴定费、公证费、提存费、审计费及其他合理开支等），并向采购人支付合同总价款百分之二十的违约金。 （5）供应商出现任何违约行为，给采购人造成损失的，除支付违约金外，还应赔偿采购人的全部直接及间接损失，包括但不限于为解决争议支付的诉讼费、律师费、保全费、保函费、鉴定费、公证费、提存费、审计费及其他合理开支等。 （6）在本项目约定的免费售后服务期内（自验收合格之日起一年），供应商未按约定时间（如24 小时内响应、48 小时内上门）提供技术指导或维护服务的，每发生一次，应向采购人支付违约金人民币壹仟元。造成采购人损失的，还应承担赔偿责任。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 1： 1.其他商务要求： 1.1 付款方式： 付款方式为银行转账，若项目阶段性或最终成果验收不合格，供应商应在采购人要求的期限内无偿整改至合格；逾期未整改或整改后仍不合格的，采购人有权暂缓支付相应款项，直至合格为止，由此造成的一切损失由供应商承担。 供应商应在采购人支付“3.3.5 支付约定”上述各笔款项前，提供符合采购人财务要求的等额合法有效票据，否则采购人有权依法顺延付款且不承担任何违约责任。采购人以银行转账方式支付至供应商指定账户，供应商账户信息如有变更，需提前 3 个工作日书面通知采购人。 1.2 交付周期： （1）品牌视觉体系部分，合同签订之日起 15 个日历日内，提交品牌视觉体系升级初步设计方案，采购方确认后的 60 个日历日内，完善优化方案，提交最终定稿； （2）品牌应用场景设计制作部分，待方案定稿后完成所有物料制作、现场安装、整体项目交付。 1.3 履约保障：服务商需严格履行合同约定，确保项目质量与服务质量，若因服务商原因延期交付，每逾期一周按合同总额的 1%支付违约金；若出现质量不合格、知识产权纠纷等问题，需承担相应违约责任，赔偿采购方全部损失。 2.西安市中心血站品牌标识及ip形象详见附件。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 2024 年度或 2025 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 2025 年5 月1 日以来任意 1 个月的社保缴纳证明，其他组织形式供应商(如个体工商户、合作社、 自然人等)可提供法人或负责人个人 2025 年 5 月 1 日以来任意 1 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 2025 年5 月1 日以来任意 1 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 3年内在经营活动中没有重大违法记录的书面声明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年内在经营活动中没有重大违法记录的书面声明；其中：重大违法记录是指供应商因违法经营受到刑事处罚或者责令停产停业、吊销许可证或者执照、较大数额罚款等行政处罚</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 ”网站列入“重大税收违法失信主体名单 ”；未被“ 中国执行信息公开网 ”列入“失信被执行人 ”；未被“ 中国政府采购网 ”网站列入“政府采购严重违法失信行为记录名单 ”；未被“ 国家企业信用信息公示系统 ”网站“列入严重违法失信名单（黑名单）信息 ”</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 1</w:t>
            </w:r>
          </w:p>
        </w:tc>
        <w:tc>
          <w:tcPr>
            <w:tcW w:type="dxa" w:w="3322"/>
          </w:tcPr>
          <w:p>
            <w:pPr>
              <w:pStyle w:val="null3"/>
            </w:pPr>
            <w:r>
              <w:rPr>
                <w:rFonts w:ascii="仿宋_GB2312" w:hAnsi="仿宋_GB2312" w:cs="仿宋_GB2312" w:eastAsia="仿宋_GB2312"/>
              </w:rPr>
              <w:t>本项目不接受西安市中心血站职工及其亲属投资开办的企业投标（供应商需提供关联关系与廉洁承诺）</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 2</w:t>
            </w:r>
          </w:p>
        </w:tc>
        <w:tc>
          <w:tcPr>
            <w:tcW w:type="dxa" w:w="3322"/>
          </w:tcPr>
          <w:p>
            <w:pPr>
              <w:pStyle w:val="null3"/>
            </w:pPr>
            <w:r>
              <w:rPr>
                <w:rFonts w:ascii="仿宋_GB2312" w:hAnsi="仿宋_GB2312" w:cs="仿宋_GB2312" w:eastAsia="仿宋_GB2312"/>
              </w:rPr>
              <w:t>本项目保证在履约过程中不影响货物质量、降低产品技术参数配置、保证提供产品的质量并诚信履约（供应商需提供质量保证承诺书）</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法定代表人证明书及授权书.docx 服务内容及服务要求应答表.docx 商务应答表.docx 响应函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法定代表人证明书及授权书.docx 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1.法定代表人参加开标会议的，应出具法定代表人证明书。 2.法定代表人授权合法授权代表参加开标会议的，应出具法定代表人证明书、法定代表人授权书,同时提供截止响应文件递交截止时间前连续近 3 个月(不含开标当月)的社保缴纳证明材料。</w:t>
            </w:r>
          </w:p>
        </w:tc>
        <w:tc>
          <w:tcPr>
            <w:tcW w:type="dxa" w:w="1661"/>
          </w:tcPr>
          <w:p>
            <w:pPr>
              <w:pStyle w:val="null3"/>
            </w:pPr>
            <w:r>
              <w:rPr>
                <w:rFonts w:ascii="仿宋_GB2312" w:hAnsi="仿宋_GB2312" w:cs="仿宋_GB2312" w:eastAsia="仿宋_GB2312"/>
              </w:rPr>
              <w:t>响应文件封面 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 27分，有一项未响应或不满足采购需求的扣1.5分，扣完为止。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整体服务的实施方案</w:t>
            </w:r>
          </w:p>
        </w:tc>
        <w:tc>
          <w:tcPr>
            <w:tcW w:type="dxa" w:w="2492"/>
          </w:tcPr>
          <w:p>
            <w:pPr>
              <w:pStyle w:val="null3"/>
            </w:pPr>
            <w:r>
              <w:rPr>
                <w:rFonts w:ascii="仿宋_GB2312" w:hAnsi="仿宋_GB2312" w:cs="仿宋_GB2312" w:eastAsia="仿宋_GB2312"/>
              </w:rPr>
              <w:t>供应商提供的整体服务的实施方案需包含①品牌标识优化设计；②色彩与字体系统规范；③视觉应用模板设计；④IP形象延展设计；⑤办公环境视觉布置；⑥献血场所氛围营造，共6项内容，每项满分3分，总分18分。 其中，每项以具体内容与本项目及所投产品的针对性、可行性、方案完善性作为采分点；每个采分点按照 1 分、0.9 分、0.5分、0.3 分、0.1 分、0 分作为具体赋分 分值，完全符合采分点要求的得 1 分，存在个别瑕疵但是符合采分点要素的得 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供应商提供的服务质量保障措施方案需包含①色彩与字体通用性与实用性及成果交付规范性；②设计作品的原创性与知识产权，共2项内容，每项满分3分，总分6分。 其中，每项以具体内容与本项目及所投产品的针对性、可行性、方案完善性作为采分点；每个采分点按照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服务开展的流程及规范方案</w:t>
            </w:r>
          </w:p>
        </w:tc>
        <w:tc>
          <w:tcPr>
            <w:tcW w:type="dxa" w:w="2492"/>
          </w:tcPr>
          <w:p>
            <w:pPr>
              <w:pStyle w:val="null3"/>
            </w:pPr>
            <w:r>
              <w:rPr>
                <w:rFonts w:ascii="仿宋_GB2312" w:hAnsi="仿宋_GB2312" w:cs="仿宋_GB2312" w:eastAsia="仿宋_GB2312"/>
              </w:rPr>
              <w:t>供应商提供的服务开展的流程及规范方案需包含①成果交付进度控制方案②服务期进度控制方案，共2项内容，每项满分3分，总分6分。其中，每项以具体内容与本项目及所投产品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服务应急预案及防控措施</w:t>
            </w:r>
          </w:p>
        </w:tc>
        <w:tc>
          <w:tcPr>
            <w:tcW w:type="dxa" w:w="2492"/>
          </w:tcPr>
          <w:p>
            <w:pPr>
              <w:pStyle w:val="null3"/>
            </w:pPr>
            <w:r>
              <w:rPr>
                <w:rFonts w:ascii="仿宋_GB2312" w:hAnsi="仿宋_GB2312" w:cs="仿宋_GB2312" w:eastAsia="仿宋_GB2312"/>
              </w:rPr>
              <w:t>供应商提供的服务应急预案及防控措施需包含①现场及作业环境可能出现的突发事件；②视觉物料质量问题的应急机制，共2项内容，每项满分3分，总分6分。其中，每项以具体内容与本项目及所投产品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1.拟投入本项目的服务团队成员达到5人（含）及以上，得3分；若团队人数少于5人（即4人及以下）的，此项不得分。 评审依据：评审时以供应商提供的团队人员的身份证扫描件或复印件为准。 2.所提供的服务团队人员中（除拟派项目负责人以外），提供文案人员、视觉执行人员、创意策划人员、执行专员，每涵盖1个专业类别人员计0.5分，同一专业类别不重复计分，本项目满分2分。 评审依据：评审时以供应商提供的项目团队人员的身份证扫描件或复印件为准。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供应商须提供书面服务承诺，承诺内容应包含：“所有设计作品均为原创，无侵犯第三方著作权、商标权、专利权等任何知识产权；若涉及知识产权纠纷，由供应商承担全部法律责任及经济损失。 ” 提供上述承诺的得 2 分，未提供的不得分。 注：承诺书格式自拟。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供应商应在响应文件中提供供应商 2023年 5 月 1 日以来的类似业绩证明材料，每提供一份有效类似业绩证明材料的得 2分，满分10分。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 ×20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