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38543">
      <w:pPr>
        <w:ind w:firstLine="480" w:firstLineChars="150"/>
        <w:jc w:val="center"/>
        <w:rPr>
          <w:rFonts w:ascii="宋体" w:hAnsi="宋体" w:eastAsia="宋体" w:cs="宋体"/>
          <w:sz w:val="32"/>
          <w:szCs w:val="32"/>
          <w:highlight w:val="none"/>
        </w:rPr>
      </w:pPr>
      <w:r>
        <w:rPr>
          <w:rFonts w:hint="eastAsia" w:ascii="宋体" w:hAnsi="宋体" w:eastAsia="宋体" w:cs="宋体"/>
          <w:sz w:val="32"/>
          <w:szCs w:val="32"/>
          <w:highlight w:val="none"/>
        </w:rPr>
        <w:t>六自由度晃动平台购置合同</w:t>
      </w:r>
    </w:p>
    <w:p w14:paraId="28BC5DF1">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根据《中华人民共和国政府采购法》、《中华人民共和国民法典》及有关法律规定，遵循平等、自愿、公平和诚实信用的原则，西安石油大学（甲方）与××××公司（乙方）就六自由度晃动平台（招标编号：</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）经双方协商达成如下合同条款：</w:t>
      </w:r>
    </w:p>
    <w:p w14:paraId="5D6CB11A">
      <w:pPr>
        <w:spacing w:line="360" w:lineRule="auto"/>
        <w:rPr>
          <w:rFonts w:ascii="宋体" w:hAnsi="宋体" w:eastAsia="宋体" w:cs="宋体"/>
          <w:b/>
          <w:sz w:val="24"/>
          <w:highlight w:val="none"/>
        </w:rPr>
      </w:pPr>
      <w:r>
        <w:rPr>
          <w:rFonts w:hint="eastAsia" w:ascii="宋体" w:hAnsi="宋体" w:eastAsia="宋体" w:cs="宋体"/>
          <w:b/>
          <w:sz w:val="24"/>
          <w:highlight w:val="none"/>
        </w:rPr>
        <w:t>一、合同内容</w:t>
      </w:r>
    </w:p>
    <w:p w14:paraId="2DD32862">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1、购置清单</w:t>
      </w:r>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253155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18C10DB2">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货物名称</w:t>
            </w:r>
          </w:p>
        </w:tc>
        <w:tc>
          <w:tcPr>
            <w:tcW w:w="1545" w:type="dxa"/>
            <w:tcBorders>
              <w:top w:val="single" w:color="auto" w:sz="4" w:space="0"/>
              <w:left w:val="nil"/>
              <w:bottom w:val="single" w:color="auto" w:sz="4" w:space="0"/>
              <w:right w:val="single" w:color="auto" w:sz="4" w:space="0"/>
            </w:tcBorders>
            <w:vAlign w:val="center"/>
          </w:tcPr>
          <w:p w14:paraId="41373430">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型号与规格</w:t>
            </w:r>
          </w:p>
        </w:tc>
        <w:tc>
          <w:tcPr>
            <w:tcW w:w="1440" w:type="dxa"/>
            <w:tcBorders>
              <w:top w:val="single" w:color="auto" w:sz="4" w:space="0"/>
              <w:left w:val="nil"/>
              <w:bottom w:val="single" w:color="auto" w:sz="4" w:space="0"/>
              <w:right w:val="single" w:color="auto" w:sz="4" w:space="0"/>
            </w:tcBorders>
            <w:vAlign w:val="center"/>
          </w:tcPr>
          <w:p w14:paraId="7DD9FD0F">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生产商、产地</w:t>
            </w:r>
          </w:p>
        </w:tc>
        <w:tc>
          <w:tcPr>
            <w:tcW w:w="810" w:type="dxa"/>
            <w:tcBorders>
              <w:top w:val="single" w:color="auto" w:sz="4" w:space="0"/>
              <w:left w:val="nil"/>
              <w:bottom w:val="single" w:color="auto" w:sz="4" w:space="0"/>
              <w:right w:val="single" w:color="auto" w:sz="4" w:space="0"/>
            </w:tcBorders>
            <w:vAlign w:val="center"/>
          </w:tcPr>
          <w:p w14:paraId="2ECE30AC">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数量</w:t>
            </w:r>
          </w:p>
        </w:tc>
        <w:tc>
          <w:tcPr>
            <w:tcW w:w="700" w:type="dxa"/>
            <w:tcBorders>
              <w:top w:val="single" w:color="auto" w:sz="4" w:space="0"/>
              <w:left w:val="nil"/>
              <w:bottom w:val="single" w:color="auto" w:sz="4" w:space="0"/>
              <w:right w:val="single" w:color="auto" w:sz="4" w:space="0"/>
            </w:tcBorders>
            <w:vAlign w:val="center"/>
          </w:tcPr>
          <w:p w14:paraId="372DF2A7">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单位</w:t>
            </w:r>
          </w:p>
        </w:tc>
        <w:tc>
          <w:tcPr>
            <w:tcW w:w="1100" w:type="dxa"/>
            <w:tcBorders>
              <w:top w:val="single" w:color="auto" w:sz="4" w:space="0"/>
              <w:left w:val="nil"/>
              <w:bottom w:val="single" w:color="auto" w:sz="4" w:space="0"/>
              <w:right w:val="single" w:color="auto" w:sz="4" w:space="0"/>
            </w:tcBorders>
            <w:vAlign w:val="center"/>
          </w:tcPr>
          <w:p w14:paraId="78C2C509">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单价（元）</w:t>
            </w:r>
          </w:p>
        </w:tc>
        <w:tc>
          <w:tcPr>
            <w:tcW w:w="1100" w:type="dxa"/>
            <w:tcBorders>
              <w:top w:val="single" w:color="auto" w:sz="4" w:space="0"/>
              <w:left w:val="nil"/>
              <w:bottom w:val="single" w:color="auto" w:sz="4" w:space="0"/>
              <w:right w:val="single" w:color="auto" w:sz="4" w:space="0"/>
            </w:tcBorders>
            <w:vAlign w:val="center"/>
          </w:tcPr>
          <w:p w14:paraId="630DD856">
            <w:pPr>
              <w:spacing w:line="360" w:lineRule="auto"/>
              <w:jc w:val="center"/>
              <w:rPr>
                <w:rFonts w:ascii="宋体" w:hAnsi="宋体" w:eastAsia="宋体" w:cs="宋体"/>
                <w:szCs w:val="21"/>
                <w:highlight w:val="none"/>
              </w:rPr>
            </w:pPr>
            <w:r>
              <w:rPr>
                <w:rFonts w:hint="eastAsia" w:ascii="宋体" w:hAnsi="宋体" w:eastAsia="宋体" w:cs="宋体"/>
                <w:szCs w:val="21"/>
                <w:highlight w:val="none"/>
              </w:rPr>
              <w:t>总价（元）</w:t>
            </w:r>
          </w:p>
        </w:tc>
      </w:tr>
      <w:tr w14:paraId="1756F14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tcPr>
          <w:p w14:paraId="7096C135">
            <w:pPr>
              <w:spacing w:line="360" w:lineRule="auto"/>
              <w:rPr>
                <w:rFonts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tcPr>
          <w:p w14:paraId="627EF0C8">
            <w:pPr>
              <w:spacing w:line="360" w:lineRule="auto"/>
              <w:rPr>
                <w:rFonts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tcPr>
          <w:p w14:paraId="3AE82377">
            <w:pPr>
              <w:spacing w:line="360" w:lineRule="auto"/>
              <w:rPr>
                <w:rFonts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tcPr>
          <w:p w14:paraId="76A55AE7">
            <w:pPr>
              <w:spacing w:line="360" w:lineRule="auto"/>
              <w:rPr>
                <w:rFonts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tcPr>
          <w:p w14:paraId="409D457B">
            <w:pPr>
              <w:spacing w:line="360" w:lineRule="auto"/>
              <w:rPr>
                <w:rFonts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7F595F">
            <w:pPr>
              <w:spacing w:line="360" w:lineRule="auto"/>
              <w:rPr>
                <w:rFonts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tcPr>
          <w:p w14:paraId="6C947B9C">
            <w:pPr>
              <w:spacing w:line="360" w:lineRule="auto"/>
              <w:rPr>
                <w:rFonts w:ascii="宋体" w:hAnsi="宋体" w:eastAsia="宋体" w:cs="宋体"/>
                <w:szCs w:val="21"/>
                <w:highlight w:val="none"/>
              </w:rPr>
            </w:pPr>
          </w:p>
        </w:tc>
      </w:tr>
      <w:tr w14:paraId="3DDEB58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vAlign w:val="center"/>
          </w:tcPr>
          <w:p w14:paraId="7D740AE2">
            <w:pPr>
              <w:spacing w:line="360" w:lineRule="auto"/>
              <w:rPr>
                <w:rFonts w:ascii="宋体" w:hAnsi="宋体" w:eastAsia="宋体" w:cs="宋体"/>
                <w:szCs w:val="21"/>
                <w:highlight w:val="none"/>
              </w:rPr>
            </w:pPr>
          </w:p>
        </w:tc>
        <w:tc>
          <w:tcPr>
            <w:tcW w:w="1545" w:type="dxa"/>
            <w:tcBorders>
              <w:top w:val="single" w:color="auto" w:sz="4" w:space="0"/>
              <w:left w:val="nil"/>
              <w:bottom w:val="single" w:color="auto" w:sz="4" w:space="0"/>
              <w:right w:val="single" w:color="auto" w:sz="4" w:space="0"/>
            </w:tcBorders>
            <w:vAlign w:val="center"/>
          </w:tcPr>
          <w:p w14:paraId="67D2803A">
            <w:pPr>
              <w:spacing w:line="360" w:lineRule="auto"/>
              <w:rPr>
                <w:rFonts w:ascii="宋体" w:hAnsi="宋体" w:eastAsia="宋体" w:cs="宋体"/>
                <w:szCs w:val="21"/>
                <w:highlight w:val="none"/>
              </w:rPr>
            </w:pPr>
          </w:p>
        </w:tc>
        <w:tc>
          <w:tcPr>
            <w:tcW w:w="1440" w:type="dxa"/>
            <w:tcBorders>
              <w:top w:val="single" w:color="auto" w:sz="4" w:space="0"/>
              <w:left w:val="nil"/>
              <w:bottom w:val="single" w:color="auto" w:sz="4" w:space="0"/>
              <w:right w:val="single" w:color="auto" w:sz="4" w:space="0"/>
            </w:tcBorders>
            <w:vAlign w:val="center"/>
          </w:tcPr>
          <w:p w14:paraId="118E224A">
            <w:pPr>
              <w:spacing w:line="360" w:lineRule="auto"/>
              <w:rPr>
                <w:rFonts w:ascii="宋体" w:hAnsi="宋体" w:eastAsia="宋体" w:cs="宋体"/>
                <w:szCs w:val="21"/>
                <w:highlight w:val="none"/>
              </w:rPr>
            </w:pPr>
          </w:p>
        </w:tc>
        <w:tc>
          <w:tcPr>
            <w:tcW w:w="810" w:type="dxa"/>
            <w:tcBorders>
              <w:top w:val="single" w:color="auto" w:sz="4" w:space="0"/>
              <w:left w:val="nil"/>
              <w:bottom w:val="single" w:color="auto" w:sz="4" w:space="0"/>
              <w:right w:val="single" w:color="auto" w:sz="4" w:space="0"/>
            </w:tcBorders>
            <w:vAlign w:val="center"/>
          </w:tcPr>
          <w:p w14:paraId="14C635F8">
            <w:pPr>
              <w:spacing w:line="360" w:lineRule="auto"/>
              <w:rPr>
                <w:rFonts w:ascii="宋体" w:hAnsi="宋体" w:eastAsia="宋体" w:cs="宋体"/>
                <w:szCs w:val="21"/>
                <w:highlight w:val="none"/>
              </w:rPr>
            </w:pPr>
          </w:p>
        </w:tc>
        <w:tc>
          <w:tcPr>
            <w:tcW w:w="700" w:type="dxa"/>
            <w:tcBorders>
              <w:top w:val="single" w:color="auto" w:sz="4" w:space="0"/>
              <w:left w:val="nil"/>
              <w:bottom w:val="single" w:color="auto" w:sz="4" w:space="0"/>
              <w:right w:val="single" w:color="auto" w:sz="4" w:space="0"/>
            </w:tcBorders>
            <w:vAlign w:val="center"/>
          </w:tcPr>
          <w:p w14:paraId="131130B5">
            <w:pPr>
              <w:spacing w:line="360" w:lineRule="auto"/>
              <w:rPr>
                <w:rFonts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1586396B">
            <w:pPr>
              <w:spacing w:line="360" w:lineRule="auto"/>
              <w:rPr>
                <w:rFonts w:ascii="宋体" w:hAnsi="宋体" w:eastAsia="宋体" w:cs="宋体"/>
                <w:szCs w:val="21"/>
                <w:highlight w:val="none"/>
              </w:rPr>
            </w:pPr>
          </w:p>
        </w:tc>
        <w:tc>
          <w:tcPr>
            <w:tcW w:w="1100" w:type="dxa"/>
            <w:tcBorders>
              <w:top w:val="single" w:color="auto" w:sz="4" w:space="0"/>
              <w:left w:val="nil"/>
              <w:bottom w:val="single" w:color="auto" w:sz="4" w:space="0"/>
              <w:right w:val="single" w:color="auto" w:sz="4" w:space="0"/>
            </w:tcBorders>
            <w:vAlign w:val="center"/>
          </w:tcPr>
          <w:p w14:paraId="5955710C">
            <w:pPr>
              <w:spacing w:line="360" w:lineRule="auto"/>
              <w:rPr>
                <w:rFonts w:ascii="宋体" w:hAnsi="宋体" w:eastAsia="宋体" w:cs="宋体"/>
                <w:szCs w:val="21"/>
                <w:highlight w:val="none"/>
              </w:rPr>
            </w:pPr>
          </w:p>
        </w:tc>
      </w:tr>
      <w:tr w14:paraId="529834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vAlign w:val="center"/>
          </w:tcPr>
          <w:p w14:paraId="23E69931">
            <w:pPr>
              <w:spacing w:line="360" w:lineRule="auto"/>
              <w:rPr>
                <w:rFonts w:ascii="宋体" w:hAnsi="宋体" w:eastAsia="宋体" w:cs="宋体"/>
                <w:szCs w:val="21"/>
                <w:highlight w:val="none"/>
              </w:rPr>
            </w:pPr>
            <w:r>
              <w:rPr>
                <w:rFonts w:hint="eastAsia" w:ascii="宋体" w:hAnsi="宋体" w:eastAsia="宋体" w:cs="宋体"/>
                <w:szCs w:val="21"/>
                <w:highlight w:val="none"/>
              </w:rPr>
              <w:t>合计金额（大写）：</w:t>
            </w:r>
          </w:p>
        </w:tc>
        <w:tc>
          <w:tcPr>
            <w:tcW w:w="1100" w:type="dxa"/>
            <w:tcBorders>
              <w:top w:val="single" w:color="auto" w:sz="4" w:space="0"/>
              <w:left w:val="nil"/>
              <w:bottom w:val="single" w:color="auto" w:sz="4" w:space="0"/>
              <w:right w:val="single" w:color="auto" w:sz="4" w:space="0"/>
            </w:tcBorders>
            <w:vAlign w:val="center"/>
          </w:tcPr>
          <w:p w14:paraId="608FB987">
            <w:pPr>
              <w:spacing w:line="360" w:lineRule="auto"/>
              <w:rPr>
                <w:rFonts w:ascii="宋体" w:hAnsi="宋体" w:eastAsia="宋体" w:cs="宋体"/>
                <w:szCs w:val="21"/>
                <w:highlight w:val="none"/>
              </w:rPr>
            </w:pPr>
            <w:r>
              <w:rPr>
                <w:rFonts w:hint="eastAsia" w:ascii="宋体" w:hAnsi="宋体" w:eastAsia="宋体" w:cs="宋体"/>
                <w:szCs w:val="21"/>
                <w:highlight w:val="none"/>
              </w:rPr>
              <w:t>合计（元）</w:t>
            </w:r>
          </w:p>
        </w:tc>
        <w:tc>
          <w:tcPr>
            <w:tcW w:w="1100" w:type="dxa"/>
            <w:tcBorders>
              <w:top w:val="single" w:color="auto" w:sz="4" w:space="0"/>
              <w:left w:val="nil"/>
              <w:bottom w:val="single" w:color="auto" w:sz="4" w:space="0"/>
              <w:right w:val="single" w:color="auto" w:sz="4" w:space="0"/>
            </w:tcBorders>
            <w:vAlign w:val="center"/>
          </w:tcPr>
          <w:p w14:paraId="04CD49E3">
            <w:pPr>
              <w:spacing w:line="360" w:lineRule="auto"/>
              <w:rPr>
                <w:rFonts w:ascii="宋体" w:hAnsi="宋体" w:eastAsia="宋体" w:cs="宋体"/>
                <w:szCs w:val="21"/>
                <w:highlight w:val="none"/>
              </w:rPr>
            </w:pPr>
            <w:r>
              <w:rPr>
                <w:rFonts w:hint="eastAsia" w:ascii="宋体" w:hAnsi="宋体" w:eastAsia="宋体" w:cs="宋体"/>
                <w:szCs w:val="21"/>
                <w:highlight w:val="none"/>
              </w:rPr>
              <w:t>小写</w:t>
            </w:r>
          </w:p>
        </w:tc>
      </w:tr>
    </w:tbl>
    <w:p w14:paraId="342D6952">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2、合同总额：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元，是指货物到达西安石油大学指定地点、完成验收后的价格，其中已包含货物价格、包装运杂费（含保险）、工程费、安装调试费、税金等全部费用。</w:t>
      </w:r>
    </w:p>
    <w:p w14:paraId="4D2E3D04">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3、合同总额为一次性包死价格，不受市场价格的变化和影响，在合同不发生变更时作为付款结算的依据。</w:t>
      </w:r>
    </w:p>
    <w:p w14:paraId="01E78E36">
      <w:pPr>
        <w:ind w:firstLine="361" w:firstLineChars="150"/>
        <w:rPr>
          <w:rFonts w:ascii="宋体" w:hAnsi="宋体" w:eastAsia="宋体" w:cs="宋体"/>
          <w:sz w:val="28"/>
          <w:szCs w:val="28"/>
          <w:highlight w:val="none"/>
        </w:rPr>
      </w:pPr>
      <w:bookmarkStart w:id="0" w:name="_GoBack"/>
      <w:bookmarkEnd w:id="0"/>
      <w:r>
        <w:rPr>
          <w:rFonts w:hint="eastAsia" w:ascii="宋体" w:hAnsi="宋体" w:eastAsia="宋体" w:cs="宋体"/>
          <w:b/>
          <w:bCs/>
          <w:sz w:val="24"/>
          <w:highlight w:val="none"/>
        </w:rPr>
        <w:t>二、产品质量</w:t>
      </w:r>
    </w:p>
    <w:p w14:paraId="2B47533C">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1、乙方提供的货物及配套产品，必须是合同规定厂家制造的、合格、全新、未曾使用的、且经过国家质检部门检验，并颁发了产品准销证的产品。</w:t>
      </w:r>
    </w:p>
    <w:p w14:paraId="6A50DF51">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2、乙方提供的货物及配套产品必须等同于或优于合同技术指标要求，并能按国家标准或行业标准供应、检测、调试，确保产品技术指标满足使用要求。</w:t>
      </w:r>
    </w:p>
    <w:p w14:paraId="3B9411F3">
      <w:pPr>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A8163DB">
      <w:pPr>
        <w:spacing w:line="360" w:lineRule="auto"/>
        <w:ind w:firstLine="420" w:firstLineChars="200"/>
        <w:rPr>
          <w:rFonts w:ascii="宋体" w:hAnsi="宋体" w:eastAsia="宋体" w:cs="宋体"/>
          <w:highlight w:val="none"/>
        </w:rPr>
      </w:pPr>
      <w:r>
        <w:rPr>
          <w:rFonts w:hint="eastAsia" w:ascii="宋体" w:hAnsi="宋体" w:eastAsia="宋体" w:cs="宋体"/>
          <w:szCs w:val="21"/>
          <w:highlight w:val="none"/>
        </w:rPr>
        <w:t>4、设计技术专利、外型专利、应用软件专利等均应符合我国的有关法律及行业标准，凡因以上问题与第三方发生的任何纠纷均与甲方无关。</w:t>
      </w:r>
    </w:p>
    <w:p w14:paraId="10E09477">
      <w:pPr>
        <w:spacing w:line="360" w:lineRule="auto"/>
        <w:ind w:firstLine="420"/>
        <w:rPr>
          <w:rFonts w:ascii="宋体" w:hAnsi="宋体" w:eastAsia="宋体" w:cs="宋体"/>
          <w:szCs w:val="21"/>
          <w:highlight w:val="none"/>
        </w:rPr>
      </w:pPr>
      <w:r>
        <w:rPr>
          <w:rFonts w:hint="eastAsia" w:ascii="宋体" w:hAnsi="宋体" w:eastAsia="宋体" w:cs="宋体"/>
          <w:szCs w:val="21"/>
          <w:highlight w:val="none"/>
        </w:rPr>
        <w:t>5、产品质量保证期为货物验收合格后</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年。质保期内，乙方对所供货物免费进行质保和服务。</w:t>
      </w:r>
    </w:p>
    <w:p w14:paraId="12AC4CC9">
      <w:pPr>
        <w:ind w:firstLine="241" w:firstLineChars="100"/>
        <w:rPr>
          <w:rFonts w:ascii="宋体" w:hAnsi="宋体" w:eastAsia="宋体" w:cs="宋体"/>
          <w:b/>
          <w:bCs/>
          <w:sz w:val="24"/>
          <w:highlight w:val="none"/>
        </w:rPr>
      </w:pPr>
      <w:r>
        <w:rPr>
          <w:rFonts w:hint="eastAsia" w:ascii="宋体" w:hAnsi="宋体" w:eastAsia="宋体" w:cs="宋体"/>
          <w:b/>
          <w:bCs/>
          <w:sz w:val="24"/>
          <w:highlight w:val="none"/>
        </w:rPr>
        <w:t>三、产品包装要求及运输方式</w:t>
      </w:r>
    </w:p>
    <w:p w14:paraId="770A6D4B">
      <w:pPr>
        <w:pStyle w:val="10"/>
        <w:spacing w:line="360" w:lineRule="auto"/>
        <w:ind w:firstLine="420" w:firstLineChars="200"/>
        <w:rPr>
          <w:rFonts w:hint="default" w:ascii="宋体" w:hAnsi="宋体" w:eastAsia="宋体" w:cs="宋体"/>
          <w:kern w:val="2"/>
          <w:sz w:val="21"/>
          <w:szCs w:val="21"/>
          <w:highlight w:val="none"/>
          <w:lang w:eastAsia="zh-CN"/>
        </w:rPr>
      </w:pPr>
      <w:r>
        <w:rPr>
          <w:rFonts w:ascii="宋体" w:hAnsi="宋体" w:eastAsia="宋体" w:cs="宋体"/>
          <w:kern w:val="2"/>
          <w:sz w:val="21"/>
          <w:szCs w:val="21"/>
          <w:highlight w:val="none"/>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60FD1E0">
      <w:pPr>
        <w:spacing w:line="360" w:lineRule="auto"/>
        <w:ind w:firstLine="361" w:firstLineChars="150"/>
        <w:rPr>
          <w:rFonts w:ascii="宋体" w:hAnsi="宋体" w:eastAsia="宋体" w:cs="宋体"/>
          <w:b/>
          <w:bCs/>
          <w:sz w:val="24"/>
          <w:highlight w:val="none"/>
        </w:rPr>
      </w:pPr>
      <w:r>
        <w:rPr>
          <w:rFonts w:hint="eastAsia" w:ascii="宋体" w:hAnsi="宋体" w:eastAsia="宋体" w:cs="宋体"/>
          <w:b/>
          <w:bCs/>
          <w:sz w:val="24"/>
          <w:highlight w:val="none"/>
        </w:rPr>
        <w:t>四、交货时间地点及方式</w:t>
      </w:r>
    </w:p>
    <w:p w14:paraId="07F3737E">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乙方于合同签订后×天内完成货物安装调试并交付使用。安装地点：西安石油大学指定地点，所有产生费用乙方负责。甲方联系人：××，乙方联系人：××。</w:t>
      </w:r>
    </w:p>
    <w:p w14:paraId="21A25894">
      <w:pPr>
        <w:spacing w:line="360" w:lineRule="auto"/>
        <w:ind w:firstLine="241" w:firstLineChars="100"/>
        <w:rPr>
          <w:rFonts w:ascii="宋体" w:hAnsi="宋体" w:eastAsia="宋体" w:cs="宋体"/>
          <w:b/>
          <w:bCs/>
          <w:sz w:val="24"/>
          <w:highlight w:val="none"/>
        </w:rPr>
      </w:pPr>
      <w:r>
        <w:rPr>
          <w:rFonts w:hint="eastAsia" w:ascii="宋体" w:hAnsi="宋体" w:eastAsia="宋体" w:cs="宋体"/>
          <w:b/>
          <w:bCs/>
          <w:sz w:val="24"/>
          <w:highlight w:val="none"/>
        </w:rPr>
        <w:t>五、设备的安装、调试及验收</w:t>
      </w:r>
    </w:p>
    <w:p w14:paraId="6C2CFB42">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1、甲方和乙方应在现场安装设备前，共同确认所有设备是否符合招标要求。乙方负责安装调试，甲方提供必要的工作条件，安装调试所有费用乙方负责。</w:t>
      </w:r>
    </w:p>
    <w:p w14:paraId="14AFF67C">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2、甲方对乙方所交产品依照本合同和相关技术合同进行现场验收。验收不合格的，限期整改；整改仍达不到要求的，按本合同第八条第3款处理。</w:t>
      </w:r>
    </w:p>
    <w:p w14:paraId="3D8FAEEA">
      <w:pPr>
        <w:ind w:firstLine="361" w:firstLineChars="150"/>
        <w:rPr>
          <w:rFonts w:ascii="宋体" w:hAnsi="宋体" w:eastAsia="宋体" w:cs="宋体"/>
          <w:b/>
          <w:bCs/>
          <w:sz w:val="24"/>
          <w:highlight w:val="none"/>
        </w:rPr>
      </w:pPr>
      <w:r>
        <w:rPr>
          <w:rFonts w:hint="eastAsia" w:ascii="宋体" w:hAnsi="宋体" w:eastAsia="宋体" w:cs="宋体"/>
          <w:b/>
          <w:bCs/>
          <w:sz w:val="24"/>
          <w:highlight w:val="none"/>
        </w:rPr>
        <w:t>六、质保期及售后服务</w:t>
      </w:r>
    </w:p>
    <w:p w14:paraId="4C3625DE">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54578DD7">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3DE942ED">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3、设备正式运行后，定期回访用户，当系统出现重大缺陷问题而影响到甲方实际应用时需及时响应并派人到现场解决。</w:t>
      </w:r>
    </w:p>
    <w:p w14:paraId="38B9656D">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乙方售后服务及维修专线：××××××。</w:t>
      </w:r>
    </w:p>
    <w:p w14:paraId="3B74CC95">
      <w:pPr>
        <w:spacing w:line="360" w:lineRule="auto"/>
        <w:ind w:firstLine="361" w:firstLineChars="150"/>
        <w:rPr>
          <w:rFonts w:ascii="宋体" w:hAnsi="宋体" w:eastAsia="宋体" w:cs="宋体"/>
          <w:b/>
          <w:bCs/>
          <w:sz w:val="24"/>
          <w:highlight w:val="none"/>
        </w:rPr>
      </w:pPr>
      <w:r>
        <w:rPr>
          <w:rFonts w:hint="eastAsia" w:ascii="宋体" w:hAnsi="宋体" w:eastAsia="宋体" w:cs="宋体"/>
          <w:b/>
          <w:bCs/>
          <w:sz w:val="24"/>
          <w:highlight w:val="none"/>
        </w:rPr>
        <w:t>七、付款时间及付款方式</w:t>
      </w:r>
    </w:p>
    <w:p w14:paraId="0AD93CA2">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1、履约保证金</w:t>
      </w:r>
    </w:p>
    <w:p w14:paraId="4AF7D7C9">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1.1合同签订前，乙方须向甲方提交合同总价的</w:t>
      </w:r>
      <w:r>
        <w:rPr>
          <w:rFonts w:hint="eastAsia" w:ascii="宋体" w:hAnsi="宋体" w:eastAsia="宋体" w:cs="宋体"/>
          <w:szCs w:val="21"/>
          <w:highlight w:val="none"/>
          <w:u w:val="single"/>
        </w:rPr>
        <w:t>5</w:t>
      </w:r>
      <w:r>
        <w:rPr>
          <w:rFonts w:hint="eastAsia" w:ascii="宋体" w:hAnsi="宋体" w:eastAsia="宋体" w:cs="宋体"/>
          <w:szCs w:val="21"/>
          <w:highlight w:val="none"/>
        </w:rPr>
        <w:t>%作为履约保证金；</w:t>
      </w:r>
    </w:p>
    <w:p w14:paraId="211E180F">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1.2履约保证金应使用人民币，按</w:t>
      </w:r>
      <w:r>
        <w:rPr>
          <w:rFonts w:hint="eastAsia" w:ascii="宋体" w:hAnsi="宋体" w:eastAsia="宋体" w:cs="宋体"/>
          <w:szCs w:val="21"/>
          <w:highlight w:val="none"/>
          <w:u w:val="single"/>
        </w:rPr>
        <w:t xml:space="preserve">   汇款或现金   </w:t>
      </w:r>
      <w:r>
        <w:rPr>
          <w:rFonts w:hint="eastAsia" w:ascii="宋体" w:hAnsi="宋体" w:eastAsia="宋体" w:cs="宋体"/>
          <w:szCs w:val="21"/>
          <w:highlight w:val="none"/>
        </w:rPr>
        <w:t xml:space="preserve"> 方式提交；</w:t>
      </w:r>
    </w:p>
    <w:p w14:paraId="1A8DA95B">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1.3设备到货并由甲方验收合格后，乙方申请，甲方应把履约保证金（无息）退还乙方。</w:t>
      </w:r>
    </w:p>
    <w:p w14:paraId="47A6BA7C">
      <w:pPr>
        <w:numPr>
          <w:ilvl w:val="0"/>
          <w:numId w:val="1"/>
        </w:num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合同款支付</w:t>
      </w:r>
    </w:p>
    <w:p w14:paraId="624D0A40">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合同签订后，供应商开具预付款等额银行保函，采购人收到银行保函正本后10个工作日内支付预付款，最多支付至</w:t>
      </w:r>
      <w:r>
        <w:rPr>
          <w:rFonts w:hint="eastAsia" w:ascii="宋体" w:hAnsi="宋体" w:eastAsia="宋体" w:cs="宋体"/>
          <w:szCs w:val="21"/>
          <w:highlight w:val="none"/>
          <w:lang w:val="en-US" w:eastAsia="zh-CN"/>
        </w:rPr>
        <w:t>40</w:t>
      </w:r>
      <w:r>
        <w:rPr>
          <w:rFonts w:hint="eastAsia" w:ascii="宋体" w:hAnsi="宋体" w:eastAsia="宋体" w:cs="宋体"/>
          <w:szCs w:val="21"/>
          <w:highlight w:val="none"/>
        </w:rPr>
        <w:t>万元。验收合格，并出具增值税专用发票，达到付款条件后10个工作日内付清余款。</w:t>
      </w:r>
    </w:p>
    <w:p w14:paraId="408F25F9">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3.最终结算时，乙方须向甲方出具合同总价款的增值税专用发票。</w:t>
      </w:r>
    </w:p>
    <w:p w14:paraId="4EB08A70">
      <w:pPr>
        <w:ind w:firstLine="361" w:firstLineChars="150"/>
        <w:rPr>
          <w:rFonts w:ascii="宋体" w:hAnsi="宋体" w:eastAsia="宋体" w:cs="宋体"/>
          <w:b/>
          <w:bCs/>
          <w:sz w:val="24"/>
          <w:highlight w:val="none"/>
        </w:rPr>
      </w:pPr>
      <w:r>
        <w:rPr>
          <w:rFonts w:hint="eastAsia" w:ascii="宋体" w:hAnsi="宋体" w:eastAsia="宋体" w:cs="宋体"/>
          <w:b/>
          <w:bCs/>
          <w:sz w:val="24"/>
          <w:highlight w:val="none"/>
        </w:rPr>
        <w:t>八、违约责任</w:t>
      </w:r>
    </w:p>
    <w:p w14:paraId="65BBC161">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1、合同生效后，甲乙双方应按合同规定认真履约。合同履约责任只涉及合同甲乙双方，不考虑第三方因素。</w:t>
      </w:r>
    </w:p>
    <w:p w14:paraId="6EF68625">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852677">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3、如乙方产品质量不符合国家标准、行业内控标准或本合同技术附件要求的，甲方有权退货，乙方应退还全部货款，并承担甲方合同总价款10％的违约金及其他损失。</w:t>
      </w:r>
    </w:p>
    <w:p w14:paraId="492161CC">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4、在合同规定的供货期内乙方未全部交货，除应如数补齐外，还应承担合同总款的10％违约金。</w:t>
      </w:r>
    </w:p>
    <w:p w14:paraId="20B19C4A">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5、乙方对货物不按招标文件要求，擅自更换，除恢复原招标产品外，应承担更换部分价款10%的违约金；乙方如对产品材质、随机配品以次充好，除全部按要求恢复外，应承担此部分价款10%的违约金。</w:t>
      </w:r>
    </w:p>
    <w:p w14:paraId="58C590CF">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2E512B71">
      <w:pPr>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7AFC6A82">
      <w:pPr>
        <w:ind w:firstLine="361" w:firstLineChars="150"/>
        <w:rPr>
          <w:rFonts w:ascii="宋体" w:hAnsi="宋体" w:eastAsia="宋体" w:cs="宋体"/>
          <w:sz w:val="28"/>
          <w:szCs w:val="28"/>
          <w:highlight w:val="none"/>
        </w:rPr>
      </w:pPr>
      <w:r>
        <w:rPr>
          <w:rFonts w:hint="eastAsia" w:ascii="宋体" w:hAnsi="宋体" w:eastAsia="宋体" w:cs="宋体"/>
          <w:b/>
          <w:bCs/>
          <w:sz w:val="24"/>
          <w:highlight w:val="none"/>
        </w:rPr>
        <w:t>九、解决合同纠纷方式：双方友好协商解决，协商未果由西安市仲裁委员会仲裁。</w:t>
      </w:r>
    </w:p>
    <w:p w14:paraId="408F02F9">
      <w:pPr>
        <w:ind w:firstLine="361" w:firstLineChars="150"/>
        <w:rPr>
          <w:rFonts w:ascii="宋体" w:hAnsi="宋体" w:eastAsia="宋体" w:cs="宋体"/>
          <w:b/>
          <w:bCs/>
          <w:sz w:val="24"/>
          <w:highlight w:val="none"/>
        </w:rPr>
      </w:pPr>
      <w:r>
        <w:rPr>
          <w:rFonts w:hint="eastAsia" w:ascii="宋体" w:hAnsi="宋体" w:eastAsia="宋体" w:cs="宋体"/>
          <w:b/>
          <w:bCs/>
          <w:sz w:val="24"/>
          <w:highlight w:val="none"/>
        </w:rPr>
        <w:t>十、其它事项</w:t>
      </w:r>
    </w:p>
    <w:p w14:paraId="4971ED23">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1、本合同一式七份，甲方五份，乙方一份，代理机构一份，经甲、乙双方签字盖章后生效，具有同等法律效力。</w:t>
      </w:r>
    </w:p>
    <w:p w14:paraId="32A33A06">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2、合同所有附件均为本合同不可分割的组成部分，与本合同具有同等法律效力。</w:t>
      </w:r>
    </w:p>
    <w:p w14:paraId="3AF5B7A5">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487F85C4">
        <w:tblPrEx>
          <w:tblCellMar>
            <w:top w:w="0" w:type="dxa"/>
            <w:left w:w="108" w:type="dxa"/>
            <w:bottom w:w="0" w:type="dxa"/>
            <w:right w:w="108" w:type="dxa"/>
          </w:tblCellMar>
        </w:tblPrEx>
        <w:trPr>
          <w:jc w:val="center"/>
        </w:trPr>
        <w:tc>
          <w:tcPr>
            <w:tcW w:w="3780" w:type="dxa"/>
            <w:vAlign w:val="center"/>
          </w:tcPr>
          <w:p w14:paraId="7F930902">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甲方：西安石油大学（盖章）</w:t>
            </w:r>
          </w:p>
        </w:tc>
        <w:tc>
          <w:tcPr>
            <w:tcW w:w="3088" w:type="dxa"/>
            <w:vAlign w:val="center"/>
          </w:tcPr>
          <w:p w14:paraId="46CD8A49">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乙方：××公司（盖章）</w:t>
            </w:r>
          </w:p>
        </w:tc>
        <w:tc>
          <w:tcPr>
            <w:tcW w:w="2495" w:type="dxa"/>
            <w:vMerge w:val="restart"/>
          </w:tcPr>
          <w:p w14:paraId="563EF666">
            <w:pPr>
              <w:spacing w:line="360" w:lineRule="auto"/>
              <w:rPr>
                <w:rFonts w:ascii="宋体" w:hAnsi="宋体" w:eastAsia="宋体" w:cs="宋体"/>
                <w:szCs w:val="21"/>
                <w:highlight w:val="none"/>
              </w:rPr>
            </w:pPr>
            <w:r>
              <w:rPr>
                <w:rFonts w:hint="eastAsia" w:ascii="宋体" w:hAnsi="宋体" w:eastAsia="宋体" w:cs="宋体"/>
                <w:szCs w:val="21"/>
                <w:highlight w:val="none"/>
              </w:rPr>
              <w:t>见证方：××（盖章）</w:t>
            </w:r>
          </w:p>
        </w:tc>
      </w:tr>
      <w:tr w14:paraId="533F5BA4">
        <w:tblPrEx>
          <w:tblCellMar>
            <w:top w:w="0" w:type="dxa"/>
            <w:left w:w="108" w:type="dxa"/>
            <w:bottom w:w="0" w:type="dxa"/>
            <w:right w:w="108" w:type="dxa"/>
          </w:tblCellMar>
        </w:tblPrEx>
        <w:trPr>
          <w:jc w:val="center"/>
        </w:trPr>
        <w:tc>
          <w:tcPr>
            <w:tcW w:w="3780" w:type="dxa"/>
            <w:vAlign w:val="center"/>
          </w:tcPr>
          <w:p w14:paraId="5F3B7A75">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法人或委托代理人：</w:t>
            </w:r>
          </w:p>
        </w:tc>
        <w:tc>
          <w:tcPr>
            <w:tcW w:w="3088" w:type="dxa"/>
            <w:vAlign w:val="center"/>
          </w:tcPr>
          <w:p w14:paraId="07D5B492">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法人或委托代理人：</w:t>
            </w:r>
          </w:p>
        </w:tc>
        <w:tc>
          <w:tcPr>
            <w:tcW w:w="2495" w:type="dxa"/>
            <w:vMerge w:val="continue"/>
            <w:vAlign w:val="center"/>
          </w:tcPr>
          <w:p w14:paraId="2C7D0541">
            <w:pPr>
              <w:spacing w:line="360" w:lineRule="auto"/>
              <w:ind w:firstLine="315" w:firstLineChars="150"/>
              <w:rPr>
                <w:rFonts w:ascii="宋体" w:hAnsi="宋体" w:eastAsia="宋体" w:cs="宋体"/>
                <w:szCs w:val="21"/>
                <w:highlight w:val="none"/>
              </w:rPr>
            </w:pPr>
          </w:p>
        </w:tc>
      </w:tr>
      <w:tr w14:paraId="552F654D">
        <w:tblPrEx>
          <w:tblCellMar>
            <w:top w:w="0" w:type="dxa"/>
            <w:left w:w="108" w:type="dxa"/>
            <w:bottom w:w="0" w:type="dxa"/>
            <w:right w:w="108" w:type="dxa"/>
          </w:tblCellMar>
        </w:tblPrEx>
        <w:trPr>
          <w:jc w:val="center"/>
        </w:trPr>
        <w:tc>
          <w:tcPr>
            <w:tcW w:w="3780" w:type="dxa"/>
            <w:vAlign w:val="center"/>
          </w:tcPr>
          <w:p w14:paraId="40AB71ED">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户名：西安石油大学</w:t>
            </w:r>
          </w:p>
        </w:tc>
        <w:tc>
          <w:tcPr>
            <w:tcW w:w="3088" w:type="dxa"/>
            <w:vAlign w:val="center"/>
          </w:tcPr>
          <w:p w14:paraId="0C3E78A7">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户名：</w:t>
            </w:r>
          </w:p>
        </w:tc>
        <w:tc>
          <w:tcPr>
            <w:tcW w:w="2495" w:type="dxa"/>
            <w:vMerge w:val="continue"/>
            <w:vAlign w:val="center"/>
          </w:tcPr>
          <w:p w14:paraId="53A75331">
            <w:pPr>
              <w:spacing w:line="360" w:lineRule="auto"/>
              <w:ind w:firstLine="315" w:firstLineChars="150"/>
              <w:rPr>
                <w:rFonts w:ascii="宋体" w:hAnsi="宋体" w:eastAsia="宋体" w:cs="宋体"/>
                <w:szCs w:val="21"/>
                <w:highlight w:val="none"/>
              </w:rPr>
            </w:pPr>
          </w:p>
        </w:tc>
      </w:tr>
      <w:tr w14:paraId="5F53D5F2">
        <w:tblPrEx>
          <w:tblCellMar>
            <w:top w:w="0" w:type="dxa"/>
            <w:left w:w="108" w:type="dxa"/>
            <w:bottom w:w="0" w:type="dxa"/>
            <w:right w:w="108" w:type="dxa"/>
          </w:tblCellMar>
        </w:tblPrEx>
        <w:trPr>
          <w:jc w:val="center"/>
        </w:trPr>
        <w:tc>
          <w:tcPr>
            <w:tcW w:w="3780" w:type="dxa"/>
            <w:vAlign w:val="center"/>
          </w:tcPr>
          <w:p w14:paraId="164E2766">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开户行：工行西安电子工业区支行</w:t>
            </w:r>
          </w:p>
        </w:tc>
        <w:tc>
          <w:tcPr>
            <w:tcW w:w="3088" w:type="dxa"/>
            <w:vAlign w:val="center"/>
          </w:tcPr>
          <w:p w14:paraId="4F4A2129">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开户行：</w:t>
            </w:r>
          </w:p>
        </w:tc>
        <w:tc>
          <w:tcPr>
            <w:tcW w:w="2495" w:type="dxa"/>
            <w:vAlign w:val="center"/>
          </w:tcPr>
          <w:p w14:paraId="69E70912">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代表签字：</w:t>
            </w:r>
          </w:p>
        </w:tc>
      </w:tr>
      <w:tr w14:paraId="35F39779">
        <w:tblPrEx>
          <w:tblCellMar>
            <w:top w:w="0" w:type="dxa"/>
            <w:left w:w="108" w:type="dxa"/>
            <w:bottom w:w="0" w:type="dxa"/>
            <w:right w:w="108" w:type="dxa"/>
          </w:tblCellMar>
        </w:tblPrEx>
        <w:trPr>
          <w:jc w:val="center"/>
        </w:trPr>
        <w:tc>
          <w:tcPr>
            <w:tcW w:w="3780" w:type="dxa"/>
            <w:vAlign w:val="center"/>
          </w:tcPr>
          <w:p w14:paraId="2E43A006">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帐号：3700023209014488850</w:t>
            </w:r>
          </w:p>
        </w:tc>
        <w:tc>
          <w:tcPr>
            <w:tcW w:w="3088" w:type="dxa"/>
            <w:vAlign w:val="center"/>
          </w:tcPr>
          <w:p w14:paraId="735ECA5D">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帐号：</w:t>
            </w:r>
          </w:p>
        </w:tc>
        <w:tc>
          <w:tcPr>
            <w:tcW w:w="2495" w:type="dxa"/>
            <w:vAlign w:val="center"/>
          </w:tcPr>
          <w:p w14:paraId="168636DE">
            <w:pPr>
              <w:spacing w:line="360" w:lineRule="auto"/>
              <w:ind w:firstLine="315" w:firstLineChars="150"/>
              <w:rPr>
                <w:rFonts w:ascii="宋体" w:hAnsi="宋体" w:eastAsia="宋体" w:cs="宋体"/>
                <w:szCs w:val="21"/>
                <w:highlight w:val="none"/>
              </w:rPr>
            </w:pPr>
          </w:p>
        </w:tc>
      </w:tr>
      <w:tr w14:paraId="78E7E376">
        <w:tblPrEx>
          <w:tblCellMar>
            <w:top w:w="0" w:type="dxa"/>
            <w:left w:w="108" w:type="dxa"/>
            <w:bottom w:w="0" w:type="dxa"/>
            <w:right w:w="108" w:type="dxa"/>
          </w:tblCellMar>
        </w:tblPrEx>
        <w:trPr>
          <w:jc w:val="center"/>
        </w:trPr>
        <w:tc>
          <w:tcPr>
            <w:tcW w:w="3780" w:type="dxa"/>
            <w:vAlign w:val="center"/>
          </w:tcPr>
          <w:p w14:paraId="5D06D8F8">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电话：029—88382337</w:t>
            </w:r>
          </w:p>
        </w:tc>
        <w:tc>
          <w:tcPr>
            <w:tcW w:w="3088" w:type="dxa"/>
            <w:vAlign w:val="center"/>
          </w:tcPr>
          <w:p w14:paraId="6ABE7E07">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 xml:space="preserve">电话: </w:t>
            </w:r>
          </w:p>
        </w:tc>
        <w:tc>
          <w:tcPr>
            <w:tcW w:w="2495" w:type="dxa"/>
            <w:vAlign w:val="center"/>
          </w:tcPr>
          <w:p w14:paraId="28F5CDE0">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电话：</w:t>
            </w:r>
          </w:p>
        </w:tc>
      </w:tr>
      <w:tr w14:paraId="2A9236C9">
        <w:tblPrEx>
          <w:tblCellMar>
            <w:top w:w="0" w:type="dxa"/>
            <w:left w:w="108" w:type="dxa"/>
            <w:bottom w:w="0" w:type="dxa"/>
            <w:right w:w="108" w:type="dxa"/>
          </w:tblCellMar>
        </w:tblPrEx>
        <w:trPr>
          <w:jc w:val="center"/>
        </w:trPr>
        <w:tc>
          <w:tcPr>
            <w:tcW w:w="3780" w:type="dxa"/>
            <w:vAlign w:val="center"/>
          </w:tcPr>
          <w:p w14:paraId="730E24F1">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地址：西安市电子二路18号</w:t>
            </w:r>
          </w:p>
        </w:tc>
        <w:tc>
          <w:tcPr>
            <w:tcW w:w="3088" w:type="dxa"/>
            <w:vAlign w:val="center"/>
          </w:tcPr>
          <w:p w14:paraId="00AC3428">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地址：</w:t>
            </w:r>
          </w:p>
        </w:tc>
        <w:tc>
          <w:tcPr>
            <w:tcW w:w="2495" w:type="dxa"/>
            <w:vAlign w:val="center"/>
          </w:tcPr>
          <w:p w14:paraId="695986B8">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地址：</w:t>
            </w:r>
          </w:p>
        </w:tc>
      </w:tr>
      <w:tr w14:paraId="6DEFEAF7">
        <w:tblPrEx>
          <w:tblCellMar>
            <w:top w:w="0" w:type="dxa"/>
            <w:left w:w="108" w:type="dxa"/>
            <w:bottom w:w="0" w:type="dxa"/>
            <w:right w:w="108" w:type="dxa"/>
          </w:tblCellMar>
        </w:tblPrEx>
        <w:trPr>
          <w:jc w:val="center"/>
        </w:trPr>
        <w:tc>
          <w:tcPr>
            <w:tcW w:w="3780" w:type="dxa"/>
            <w:vAlign w:val="center"/>
          </w:tcPr>
          <w:p w14:paraId="464C7836">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日期: 202  年  月  日</w:t>
            </w:r>
          </w:p>
        </w:tc>
        <w:tc>
          <w:tcPr>
            <w:tcW w:w="3088" w:type="dxa"/>
            <w:vAlign w:val="center"/>
          </w:tcPr>
          <w:p w14:paraId="7EAC9C7C">
            <w:pPr>
              <w:spacing w:line="360" w:lineRule="auto"/>
              <w:ind w:firstLine="315" w:firstLineChars="150"/>
              <w:rPr>
                <w:rFonts w:ascii="宋体" w:hAnsi="宋体" w:eastAsia="宋体" w:cs="宋体"/>
                <w:szCs w:val="21"/>
                <w:highlight w:val="none"/>
              </w:rPr>
            </w:pPr>
            <w:r>
              <w:rPr>
                <w:rFonts w:hint="eastAsia" w:ascii="宋体" w:hAnsi="宋体" w:eastAsia="宋体" w:cs="宋体"/>
                <w:szCs w:val="21"/>
                <w:highlight w:val="none"/>
              </w:rPr>
              <w:t>日期: 202  年  月  日</w:t>
            </w:r>
          </w:p>
        </w:tc>
        <w:tc>
          <w:tcPr>
            <w:tcW w:w="2495" w:type="dxa"/>
            <w:vAlign w:val="center"/>
          </w:tcPr>
          <w:p w14:paraId="3EFC3E54">
            <w:pPr>
              <w:spacing w:line="360" w:lineRule="auto"/>
              <w:ind w:firstLine="315" w:firstLineChars="150"/>
              <w:rPr>
                <w:rFonts w:ascii="宋体" w:hAnsi="宋体" w:eastAsia="宋体" w:cs="宋体"/>
                <w:szCs w:val="21"/>
                <w:highlight w:val="none"/>
              </w:rPr>
            </w:pPr>
          </w:p>
        </w:tc>
      </w:tr>
    </w:tbl>
    <w:p w14:paraId="2815E664">
      <w:pPr>
        <w:ind w:firstLine="480" w:firstLineChars="150"/>
        <w:jc w:val="center"/>
        <w:rPr>
          <w:rFonts w:ascii="宋体" w:hAnsi="宋体" w:eastAsia="宋体" w:cs="宋体"/>
          <w:sz w:val="32"/>
          <w:szCs w:val="32"/>
          <w:highlight w:val="none"/>
        </w:rPr>
      </w:pPr>
    </w:p>
    <w:p w14:paraId="7B56ED13">
      <w:pPr>
        <w:spacing w:before="78" w:line="188" w:lineRule="auto"/>
        <w:rPr>
          <w:rFonts w:ascii="黑体" w:hAnsi="黑体" w:eastAsia="黑体" w:cs="黑体"/>
          <w:sz w:val="24"/>
          <w:szCs w:val="24"/>
          <w:highlight w:val="none"/>
        </w:rPr>
      </w:pPr>
    </w:p>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17D27C10"/>
    <w:rsid w:val="1E2548E7"/>
    <w:rsid w:val="25EF5159"/>
    <w:rsid w:val="31575480"/>
    <w:rsid w:val="42A2560C"/>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character" w:styleId="8">
    <w:name w:val="annotation reference"/>
    <w:basedOn w:val="7"/>
    <w:qFormat/>
    <w:uiPriority w:val="0"/>
    <w:rPr>
      <w:sz w:val="21"/>
      <w:szCs w:val="21"/>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1789</Words>
  <Characters>1816</Characters>
  <TotalTime>0</TotalTime>
  <ScaleCrop>false</ScaleCrop>
  <LinksUpToDate>false</LinksUpToDate>
  <CharactersWithSpaces>1842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2026-07-16T06:09:42Z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