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A40B15">
      <w:pPr>
        <w:pStyle w:val="2"/>
        <w:bidi w:val="0"/>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拟签订合同文本</w:t>
      </w:r>
    </w:p>
    <w:p w14:paraId="60D789B9">
      <w:pPr>
        <w:spacing w:beforeLines="0" w:afterLines="0"/>
        <w:jc w:val="center"/>
        <w:rPr>
          <w:rFonts w:hint="eastAsia" w:asciiTheme="minorEastAsia" w:hAnsiTheme="minorEastAsia" w:eastAsiaTheme="minorEastAsia" w:cstheme="minorEastAsia"/>
          <w:color w:val="auto"/>
          <w:sz w:val="24"/>
          <w:szCs w:val="24"/>
          <w:highlight w:val="none"/>
        </w:rPr>
      </w:pPr>
      <w:bookmarkStart w:id="0" w:name="_Toc492395759"/>
    </w:p>
    <w:p w14:paraId="4CD6203B">
      <w:pPr>
        <w:spacing w:beforeLines="0" w:afterLines="0"/>
        <w:rPr>
          <w:rFonts w:hint="eastAsia" w:asciiTheme="minorEastAsia" w:hAnsiTheme="minorEastAsia" w:eastAsiaTheme="minorEastAsia" w:cstheme="minorEastAsia"/>
          <w:color w:val="auto"/>
          <w:sz w:val="24"/>
          <w:szCs w:val="24"/>
          <w:highlight w:val="none"/>
        </w:rPr>
      </w:pPr>
    </w:p>
    <w:bookmarkEnd w:id="0"/>
    <w:p w14:paraId="3B41F393">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eastAsia" w:asciiTheme="minorEastAsia" w:hAnsiTheme="minorEastAsia" w:eastAsiaTheme="minorEastAsia" w:cstheme="minorEastAsia"/>
          <w:b/>
          <w:bCs/>
          <w:color w:val="auto"/>
          <w:spacing w:val="0"/>
          <w:kern w:val="2"/>
          <w:sz w:val="32"/>
          <w:szCs w:val="32"/>
          <w:highlight w:val="none"/>
          <w:lang w:val="en-US" w:eastAsia="zh-CN" w:bidi="ar-SA"/>
        </w:rPr>
      </w:pPr>
      <w:r>
        <w:rPr>
          <w:rFonts w:hint="eastAsia" w:asciiTheme="minorEastAsia" w:hAnsiTheme="minorEastAsia" w:eastAsiaTheme="minorEastAsia" w:cstheme="minorEastAsia"/>
          <w:b/>
          <w:bCs/>
          <w:color w:val="auto"/>
          <w:spacing w:val="0"/>
          <w:kern w:val="2"/>
          <w:sz w:val="32"/>
          <w:szCs w:val="32"/>
          <w:highlight w:val="none"/>
          <w:lang w:val="en-US" w:eastAsia="zh-CN" w:bidi="ar-SA"/>
        </w:rPr>
        <w:t>阎良区2026年3所中小学维修改造项目（包1/包2/包3）</w:t>
      </w:r>
    </w:p>
    <w:p w14:paraId="7A391E4C">
      <w:pPr>
        <w:keepNext w:val="0"/>
        <w:keepLines w:val="0"/>
        <w:pageBreakBefore w:val="0"/>
        <w:widowControl/>
        <w:suppressLineNumbers w:val="0"/>
        <w:kinsoku/>
        <w:wordWrap/>
        <w:overflowPunct/>
        <w:topLinePunct w:val="0"/>
        <w:autoSpaceDE/>
        <w:autoSpaceDN/>
        <w:bidi w:val="0"/>
        <w:adjustRightInd/>
        <w:snapToGrid/>
        <w:spacing w:line="360" w:lineRule="auto"/>
        <w:ind w:firstLine="964" w:firstLineChars="300"/>
        <w:jc w:val="left"/>
        <w:textAlignment w:val="auto"/>
        <w:rPr>
          <w:rFonts w:hint="eastAsia" w:asciiTheme="minorEastAsia" w:hAnsiTheme="minorEastAsia" w:eastAsiaTheme="minorEastAsia" w:cstheme="minorEastAsia"/>
          <w:b/>
          <w:bCs/>
          <w:color w:val="auto"/>
          <w:spacing w:val="0"/>
          <w:kern w:val="2"/>
          <w:sz w:val="32"/>
          <w:szCs w:val="32"/>
          <w:highlight w:val="none"/>
          <w:lang w:val="en-US" w:eastAsia="zh-CN" w:bidi="ar-SA"/>
        </w:rPr>
      </w:pPr>
    </w:p>
    <w:p w14:paraId="1FC43953">
      <w:pPr>
        <w:keepNext w:val="0"/>
        <w:keepLines w:val="0"/>
        <w:pageBreakBefore w:val="0"/>
        <w:widowControl/>
        <w:suppressLineNumbers w:val="0"/>
        <w:kinsoku/>
        <w:wordWrap/>
        <w:overflowPunct/>
        <w:topLinePunct w:val="0"/>
        <w:autoSpaceDE/>
        <w:autoSpaceDN/>
        <w:bidi w:val="0"/>
        <w:adjustRightInd/>
        <w:snapToGrid/>
        <w:spacing w:line="360" w:lineRule="auto"/>
        <w:ind w:firstLine="964" w:firstLineChars="300"/>
        <w:jc w:val="left"/>
        <w:textAlignment w:val="auto"/>
        <w:rPr>
          <w:rFonts w:hint="eastAsia" w:asciiTheme="minorEastAsia" w:hAnsiTheme="minorEastAsia" w:eastAsiaTheme="minorEastAsia" w:cstheme="minorEastAsia"/>
          <w:b/>
          <w:bCs/>
          <w:color w:val="auto"/>
          <w:spacing w:val="0"/>
          <w:kern w:val="2"/>
          <w:sz w:val="32"/>
          <w:szCs w:val="32"/>
          <w:highlight w:val="none"/>
          <w:lang w:val="en-US" w:eastAsia="zh-CN" w:bidi="ar-SA"/>
        </w:rPr>
      </w:pPr>
    </w:p>
    <w:p w14:paraId="6878CC93">
      <w:pPr>
        <w:keepNext w:val="0"/>
        <w:keepLines w:val="0"/>
        <w:pageBreakBefore w:val="0"/>
        <w:widowControl/>
        <w:suppressLineNumbers w:val="0"/>
        <w:kinsoku/>
        <w:wordWrap/>
        <w:overflowPunct/>
        <w:topLinePunct w:val="0"/>
        <w:autoSpaceDE/>
        <w:autoSpaceDN/>
        <w:bidi w:val="0"/>
        <w:adjustRightInd/>
        <w:snapToGrid/>
        <w:spacing w:line="360" w:lineRule="auto"/>
        <w:ind w:firstLine="964" w:firstLineChars="300"/>
        <w:jc w:val="left"/>
        <w:textAlignment w:val="auto"/>
        <w:rPr>
          <w:rFonts w:hint="eastAsia" w:asciiTheme="minorEastAsia" w:hAnsiTheme="minorEastAsia" w:eastAsiaTheme="minorEastAsia" w:cstheme="minorEastAsia"/>
          <w:b/>
          <w:bCs/>
          <w:color w:val="auto"/>
          <w:spacing w:val="0"/>
          <w:kern w:val="2"/>
          <w:sz w:val="32"/>
          <w:szCs w:val="32"/>
          <w:highlight w:val="none"/>
          <w:lang w:val="en-US" w:eastAsia="zh-CN" w:bidi="ar-SA"/>
        </w:rPr>
      </w:pPr>
    </w:p>
    <w:p w14:paraId="0EE96065">
      <w:pPr>
        <w:keepNext w:val="0"/>
        <w:keepLines w:val="0"/>
        <w:pageBreakBefore w:val="0"/>
        <w:widowControl/>
        <w:suppressLineNumbers w:val="0"/>
        <w:kinsoku/>
        <w:wordWrap/>
        <w:overflowPunct/>
        <w:topLinePunct w:val="0"/>
        <w:autoSpaceDE/>
        <w:autoSpaceDN/>
        <w:bidi w:val="0"/>
        <w:adjustRightInd/>
        <w:snapToGrid/>
        <w:spacing w:line="360" w:lineRule="auto"/>
        <w:ind w:firstLine="964" w:firstLineChars="300"/>
        <w:jc w:val="left"/>
        <w:textAlignment w:val="auto"/>
        <w:rPr>
          <w:rFonts w:hint="eastAsia" w:asciiTheme="minorEastAsia" w:hAnsiTheme="minorEastAsia" w:eastAsiaTheme="minorEastAsia" w:cstheme="minorEastAsia"/>
          <w:b/>
          <w:bCs/>
          <w:color w:val="auto"/>
          <w:spacing w:val="0"/>
          <w:kern w:val="2"/>
          <w:sz w:val="32"/>
          <w:szCs w:val="32"/>
          <w:highlight w:val="none"/>
          <w:lang w:val="en-US" w:eastAsia="zh-CN" w:bidi="ar-SA"/>
        </w:rPr>
      </w:pPr>
    </w:p>
    <w:p w14:paraId="66B36DB3">
      <w:pPr>
        <w:keepNext w:val="0"/>
        <w:keepLines w:val="0"/>
        <w:pageBreakBefore w:val="0"/>
        <w:widowControl/>
        <w:suppressLineNumbers w:val="0"/>
        <w:kinsoku/>
        <w:wordWrap/>
        <w:overflowPunct/>
        <w:topLinePunct w:val="0"/>
        <w:autoSpaceDE/>
        <w:autoSpaceDN/>
        <w:bidi w:val="0"/>
        <w:adjustRightInd/>
        <w:snapToGrid/>
        <w:spacing w:line="360" w:lineRule="auto"/>
        <w:ind w:firstLine="964" w:firstLineChars="300"/>
        <w:jc w:val="left"/>
        <w:textAlignment w:val="auto"/>
        <w:rPr>
          <w:rFonts w:hint="eastAsia" w:asciiTheme="minorEastAsia" w:hAnsiTheme="minorEastAsia" w:eastAsiaTheme="minorEastAsia" w:cstheme="minorEastAsia"/>
          <w:b/>
          <w:bCs/>
          <w:color w:val="auto"/>
          <w:spacing w:val="0"/>
          <w:kern w:val="2"/>
          <w:sz w:val="32"/>
          <w:szCs w:val="32"/>
          <w:highlight w:val="none"/>
          <w:lang w:val="en-US" w:eastAsia="zh-CN" w:bidi="ar-SA"/>
        </w:rPr>
      </w:pPr>
    </w:p>
    <w:p w14:paraId="73AE97F1">
      <w:pPr>
        <w:keepNext w:val="0"/>
        <w:keepLines w:val="0"/>
        <w:pageBreakBefore w:val="0"/>
        <w:widowControl/>
        <w:suppressLineNumbers w:val="0"/>
        <w:kinsoku/>
        <w:wordWrap/>
        <w:overflowPunct/>
        <w:topLinePunct w:val="0"/>
        <w:autoSpaceDE/>
        <w:autoSpaceDN/>
        <w:bidi w:val="0"/>
        <w:adjustRightInd/>
        <w:snapToGrid/>
        <w:spacing w:line="360" w:lineRule="auto"/>
        <w:ind w:firstLine="964" w:firstLineChars="300"/>
        <w:jc w:val="left"/>
        <w:textAlignment w:val="auto"/>
        <w:rPr>
          <w:rFonts w:hint="eastAsia" w:asciiTheme="minorEastAsia" w:hAnsiTheme="minorEastAsia" w:eastAsiaTheme="minorEastAsia" w:cstheme="minorEastAsia"/>
          <w:b/>
          <w:bCs/>
          <w:color w:val="auto"/>
          <w:spacing w:val="0"/>
          <w:kern w:val="2"/>
          <w:sz w:val="32"/>
          <w:szCs w:val="32"/>
          <w:highlight w:val="none"/>
          <w:lang w:val="en-US" w:eastAsia="zh-CN" w:bidi="ar-SA"/>
        </w:rPr>
      </w:pPr>
    </w:p>
    <w:p w14:paraId="609FE281">
      <w:pPr>
        <w:keepNext w:val="0"/>
        <w:keepLines w:val="0"/>
        <w:pageBreakBefore w:val="0"/>
        <w:widowControl/>
        <w:suppressLineNumbers w:val="0"/>
        <w:kinsoku/>
        <w:wordWrap/>
        <w:overflowPunct/>
        <w:topLinePunct w:val="0"/>
        <w:autoSpaceDE/>
        <w:autoSpaceDN/>
        <w:bidi w:val="0"/>
        <w:adjustRightInd/>
        <w:snapToGrid/>
        <w:spacing w:line="360" w:lineRule="auto"/>
        <w:ind w:firstLine="964" w:firstLineChars="300"/>
        <w:jc w:val="left"/>
        <w:textAlignment w:val="auto"/>
        <w:rPr>
          <w:rFonts w:hint="eastAsia" w:asciiTheme="minorEastAsia" w:hAnsiTheme="minorEastAsia" w:eastAsiaTheme="minorEastAsia" w:cstheme="minorEastAsia"/>
          <w:b/>
          <w:bCs/>
          <w:color w:val="auto"/>
          <w:spacing w:val="0"/>
          <w:kern w:val="2"/>
          <w:sz w:val="32"/>
          <w:szCs w:val="32"/>
          <w:highlight w:val="none"/>
          <w:lang w:val="en-US" w:eastAsia="zh-CN" w:bidi="ar-SA"/>
        </w:rPr>
      </w:pPr>
    </w:p>
    <w:p w14:paraId="16F4AF4D">
      <w:pPr>
        <w:keepNext w:val="0"/>
        <w:keepLines w:val="0"/>
        <w:pageBreakBefore w:val="0"/>
        <w:widowControl/>
        <w:suppressLineNumbers w:val="0"/>
        <w:kinsoku/>
        <w:wordWrap/>
        <w:overflowPunct/>
        <w:topLinePunct w:val="0"/>
        <w:autoSpaceDE/>
        <w:autoSpaceDN/>
        <w:bidi w:val="0"/>
        <w:adjustRightInd/>
        <w:snapToGrid/>
        <w:spacing w:line="360" w:lineRule="auto"/>
        <w:ind w:firstLine="964" w:firstLineChars="300"/>
        <w:jc w:val="left"/>
        <w:textAlignment w:val="auto"/>
        <w:rPr>
          <w:rFonts w:hint="eastAsia" w:asciiTheme="minorEastAsia" w:hAnsiTheme="minorEastAsia" w:eastAsiaTheme="minorEastAsia" w:cstheme="minorEastAsia"/>
          <w:b/>
          <w:bCs/>
          <w:color w:val="auto"/>
          <w:spacing w:val="0"/>
          <w:kern w:val="2"/>
          <w:sz w:val="32"/>
          <w:szCs w:val="32"/>
          <w:highlight w:val="none"/>
          <w:lang w:val="en-US" w:eastAsia="zh-CN" w:bidi="ar-SA"/>
        </w:rPr>
      </w:pPr>
    </w:p>
    <w:p w14:paraId="4F5F0566">
      <w:pPr>
        <w:keepNext w:val="0"/>
        <w:keepLines w:val="0"/>
        <w:pageBreakBefore w:val="0"/>
        <w:widowControl/>
        <w:suppressLineNumbers w:val="0"/>
        <w:kinsoku/>
        <w:wordWrap/>
        <w:overflowPunct/>
        <w:topLinePunct w:val="0"/>
        <w:autoSpaceDE/>
        <w:autoSpaceDN/>
        <w:bidi w:val="0"/>
        <w:adjustRightInd/>
        <w:snapToGrid/>
        <w:spacing w:line="360" w:lineRule="auto"/>
        <w:ind w:firstLine="964" w:firstLineChars="300"/>
        <w:jc w:val="left"/>
        <w:textAlignment w:val="auto"/>
        <w:rPr>
          <w:rFonts w:hint="eastAsia" w:asciiTheme="minorEastAsia" w:hAnsiTheme="minorEastAsia" w:eastAsiaTheme="minorEastAsia" w:cstheme="minorEastAsia"/>
          <w:b/>
          <w:bCs/>
          <w:color w:val="auto"/>
          <w:spacing w:val="0"/>
          <w:kern w:val="2"/>
          <w:sz w:val="32"/>
          <w:szCs w:val="32"/>
          <w:highlight w:val="none"/>
          <w:lang w:val="en-US" w:eastAsia="zh-CN" w:bidi="ar-SA"/>
        </w:rPr>
      </w:pPr>
    </w:p>
    <w:p w14:paraId="328ABEA6">
      <w:pPr>
        <w:keepNext w:val="0"/>
        <w:keepLines w:val="0"/>
        <w:pageBreakBefore w:val="0"/>
        <w:widowControl/>
        <w:suppressLineNumbers w:val="0"/>
        <w:kinsoku/>
        <w:wordWrap/>
        <w:overflowPunct/>
        <w:topLinePunct w:val="0"/>
        <w:autoSpaceDE/>
        <w:autoSpaceDN/>
        <w:bidi w:val="0"/>
        <w:adjustRightInd/>
        <w:snapToGrid/>
        <w:spacing w:line="360" w:lineRule="auto"/>
        <w:ind w:firstLine="964" w:firstLineChars="300"/>
        <w:jc w:val="left"/>
        <w:textAlignment w:val="auto"/>
        <w:rPr>
          <w:rFonts w:hint="eastAsia" w:asciiTheme="minorEastAsia" w:hAnsiTheme="minorEastAsia" w:eastAsiaTheme="minorEastAsia" w:cstheme="minorEastAsia"/>
          <w:b/>
          <w:bCs/>
          <w:color w:val="auto"/>
          <w:spacing w:val="0"/>
          <w:kern w:val="2"/>
          <w:sz w:val="32"/>
          <w:szCs w:val="32"/>
          <w:highlight w:val="none"/>
          <w:lang w:val="en-US" w:eastAsia="zh-CN" w:bidi="ar-SA"/>
        </w:rPr>
      </w:pPr>
    </w:p>
    <w:p w14:paraId="1F5BA252">
      <w:pPr>
        <w:keepNext w:val="0"/>
        <w:keepLines w:val="0"/>
        <w:pageBreakBefore w:val="0"/>
        <w:widowControl/>
        <w:suppressLineNumbers w:val="0"/>
        <w:kinsoku/>
        <w:wordWrap/>
        <w:overflowPunct/>
        <w:topLinePunct w:val="0"/>
        <w:autoSpaceDE/>
        <w:autoSpaceDN/>
        <w:bidi w:val="0"/>
        <w:adjustRightInd/>
        <w:snapToGrid/>
        <w:spacing w:line="360" w:lineRule="auto"/>
        <w:ind w:firstLine="964" w:firstLineChars="300"/>
        <w:jc w:val="left"/>
        <w:textAlignment w:val="auto"/>
        <w:rPr>
          <w:rFonts w:hint="eastAsia" w:asciiTheme="minorEastAsia" w:hAnsiTheme="minorEastAsia" w:eastAsiaTheme="minorEastAsia" w:cstheme="minorEastAsia"/>
          <w:b/>
          <w:bCs/>
          <w:color w:val="auto"/>
          <w:spacing w:val="0"/>
          <w:kern w:val="2"/>
          <w:sz w:val="32"/>
          <w:szCs w:val="32"/>
          <w:highlight w:val="none"/>
          <w:lang w:val="en-US" w:eastAsia="zh-CN" w:bidi="ar-SA"/>
        </w:rPr>
      </w:pPr>
    </w:p>
    <w:p w14:paraId="27AA8F69">
      <w:pPr>
        <w:keepNext w:val="0"/>
        <w:keepLines w:val="0"/>
        <w:pageBreakBefore w:val="0"/>
        <w:widowControl/>
        <w:suppressLineNumbers w:val="0"/>
        <w:kinsoku/>
        <w:wordWrap/>
        <w:overflowPunct/>
        <w:topLinePunct w:val="0"/>
        <w:autoSpaceDE/>
        <w:autoSpaceDN/>
        <w:bidi w:val="0"/>
        <w:adjustRightInd/>
        <w:snapToGrid/>
        <w:spacing w:line="360" w:lineRule="auto"/>
        <w:ind w:firstLine="964" w:firstLineChars="300"/>
        <w:jc w:val="left"/>
        <w:textAlignment w:val="auto"/>
        <w:rPr>
          <w:rFonts w:hint="eastAsia" w:asciiTheme="minorEastAsia" w:hAnsiTheme="minorEastAsia" w:eastAsiaTheme="minorEastAsia" w:cstheme="minorEastAsia"/>
          <w:b/>
          <w:bCs/>
          <w:color w:val="auto"/>
          <w:sz w:val="32"/>
          <w:szCs w:val="32"/>
          <w:highlight w:val="none"/>
          <w:u w:val="single"/>
          <w:lang w:val="en-US" w:eastAsia="zh-CN"/>
        </w:rPr>
      </w:pPr>
      <w:r>
        <w:rPr>
          <w:rFonts w:hint="eastAsia" w:asciiTheme="minorEastAsia" w:hAnsiTheme="minorEastAsia" w:eastAsiaTheme="minorEastAsia" w:cstheme="minorEastAsia"/>
          <w:b/>
          <w:bCs/>
          <w:color w:val="auto"/>
          <w:spacing w:val="0"/>
          <w:kern w:val="2"/>
          <w:sz w:val="32"/>
          <w:szCs w:val="32"/>
          <w:highlight w:val="none"/>
          <w:lang w:val="en-US" w:eastAsia="zh-CN" w:bidi="ar-SA"/>
        </w:rPr>
        <w:t>项目名称：</w:t>
      </w:r>
      <w:r>
        <w:rPr>
          <w:rFonts w:hint="eastAsia" w:asciiTheme="minorEastAsia" w:hAnsiTheme="minorEastAsia" w:eastAsiaTheme="minorEastAsia" w:cstheme="minorEastAsia"/>
          <w:b/>
          <w:bCs/>
          <w:color w:val="auto"/>
          <w:sz w:val="32"/>
          <w:szCs w:val="32"/>
          <w:highlight w:val="none"/>
          <w:u w:val="single"/>
          <w:lang w:val="en-US" w:eastAsia="zh-CN"/>
        </w:rPr>
        <w:t>阎良区2026年3所中小学维修改造项目</w:t>
      </w:r>
    </w:p>
    <w:p w14:paraId="0AA64A46">
      <w:pPr>
        <w:keepNext w:val="0"/>
        <w:keepLines w:val="0"/>
        <w:pageBreakBefore w:val="0"/>
        <w:kinsoku/>
        <w:wordWrap/>
        <w:overflowPunct/>
        <w:topLinePunct w:val="0"/>
        <w:autoSpaceDE/>
        <w:autoSpaceDN/>
        <w:bidi w:val="0"/>
        <w:adjustRightInd/>
        <w:snapToGrid/>
        <w:spacing w:line="360" w:lineRule="auto"/>
        <w:ind w:firstLine="964" w:firstLineChars="300"/>
        <w:textAlignment w:val="auto"/>
        <w:outlineLvl w:val="9"/>
        <w:rPr>
          <w:rFonts w:hint="default" w:asciiTheme="minorEastAsia" w:hAnsiTheme="minorEastAsia" w:eastAsiaTheme="minorEastAsia" w:cstheme="minorEastAsia"/>
          <w:b/>
          <w:bCs/>
          <w:color w:val="auto"/>
          <w:sz w:val="32"/>
          <w:szCs w:val="32"/>
          <w:highlight w:val="none"/>
          <w:u w:val="single"/>
          <w:lang w:val="en-US"/>
        </w:rPr>
      </w:pPr>
      <w:r>
        <w:rPr>
          <w:rFonts w:hint="eastAsia" w:asciiTheme="minorEastAsia" w:hAnsiTheme="minorEastAsia" w:eastAsiaTheme="minorEastAsia" w:cstheme="minorEastAsia"/>
          <w:b/>
          <w:bCs/>
          <w:color w:val="auto"/>
          <w:sz w:val="32"/>
          <w:szCs w:val="32"/>
          <w:highlight w:val="none"/>
        </w:rPr>
        <w:t>发包人：</w:t>
      </w:r>
      <w:r>
        <w:rPr>
          <w:rFonts w:hint="eastAsia" w:asciiTheme="minorEastAsia" w:hAnsiTheme="minorEastAsia" w:eastAsiaTheme="minorEastAsia" w:cstheme="minorEastAsia"/>
          <w:b/>
          <w:bCs/>
          <w:color w:val="auto"/>
          <w:sz w:val="32"/>
          <w:szCs w:val="32"/>
          <w:highlight w:val="none"/>
          <w:u w:val="single"/>
          <w:lang w:val="en-US" w:eastAsia="zh-CN"/>
        </w:rPr>
        <w:t xml:space="preserve">          西安市阎良区教育局         </w:t>
      </w:r>
    </w:p>
    <w:p w14:paraId="7B6CA97D">
      <w:pPr>
        <w:pageBreakBefore w:val="0"/>
        <w:kinsoku/>
        <w:overflowPunct/>
        <w:bidi w:val="0"/>
        <w:spacing w:line="360" w:lineRule="auto"/>
        <w:ind w:firstLine="964" w:firstLineChars="300"/>
        <w:textAlignment w:val="auto"/>
        <w:outlineLvl w:val="9"/>
        <w:rPr>
          <w:rFonts w:hint="eastAsia" w:asciiTheme="minorEastAsia" w:hAnsiTheme="minorEastAsia" w:eastAsiaTheme="minorEastAsia" w:cstheme="minorEastAsia"/>
          <w:b/>
          <w:bCs/>
          <w:color w:val="auto"/>
          <w:sz w:val="32"/>
          <w:szCs w:val="32"/>
          <w:highlight w:val="none"/>
          <w:u w:val="single"/>
        </w:rPr>
      </w:pPr>
      <w:r>
        <w:rPr>
          <w:rFonts w:hint="eastAsia" w:asciiTheme="minorEastAsia" w:hAnsiTheme="minorEastAsia" w:eastAsiaTheme="minorEastAsia" w:cstheme="minorEastAsia"/>
          <w:b/>
          <w:bCs/>
          <w:color w:val="auto"/>
          <w:sz w:val="32"/>
          <w:szCs w:val="32"/>
          <w:highlight w:val="none"/>
        </w:rPr>
        <w:t>承</w:t>
      </w:r>
      <w:r>
        <w:rPr>
          <w:rFonts w:hint="eastAsia" w:asciiTheme="minorEastAsia" w:hAnsiTheme="minorEastAsia" w:eastAsiaTheme="minorEastAsia" w:cstheme="minorEastAsia"/>
          <w:b/>
          <w:bCs/>
          <w:color w:val="auto"/>
          <w:sz w:val="32"/>
          <w:szCs w:val="32"/>
          <w:highlight w:val="none"/>
          <w:lang w:val="en-US" w:eastAsia="zh-CN"/>
        </w:rPr>
        <w:t xml:space="preserve"> </w:t>
      </w:r>
      <w:r>
        <w:rPr>
          <w:rFonts w:hint="eastAsia" w:asciiTheme="minorEastAsia" w:hAnsiTheme="minorEastAsia" w:eastAsiaTheme="minorEastAsia" w:cstheme="minorEastAsia"/>
          <w:b/>
          <w:bCs/>
          <w:color w:val="auto"/>
          <w:sz w:val="32"/>
          <w:szCs w:val="32"/>
          <w:highlight w:val="none"/>
        </w:rPr>
        <w:t>包</w:t>
      </w:r>
      <w:r>
        <w:rPr>
          <w:rFonts w:hint="eastAsia" w:asciiTheme="minorEastAsia" w:hAnsiTheme="minorEastAsia" w:eastAsiaTheme="minorEastAsia" w:cstheme="minorEastAsia"/>
          <w:b/>
          <w:bCs/>
          <w:color w:val="auto"/>
          <w:sz w:val="32"/>
          <w:szCs w:val="32"/>
          <w:highlight w:val="none"/>
          <w:lang w:val="en-US" w:eastAsia="zh-CN"/>
        </w:rPr>
        <w:t xml:space="preserve"> </w:t>
      </w:r>
      <w:r>
        <w:rPr>
          <w:rFonts w:hint="eastAsia" w:asciiTheme="minorEastAsia" w:hAnsiTheme="minorEastAsia" w:eastAsiaTheme="minorEastAsia" w:cstheme="minorEastAsia"/>
          <w:b/>
          <w:bCs/>
          <w:color w:val="auto"/>
          <w:sz w:val="32"/>
          <w:szCs w:val="32"/>
          <w:highlight w:val="none"/>
        </w:rPr>
        <w:t>人：</w:t>
      </w:r>
      <w:r>
        <w:rPr>
          <w:rFonts w:hint="eastAsia" w:asciiTheme="minorEastAsia" w:hAnsiTheme="minorEastAsia" w:eastAsiaTheme="minorEastAsia" w:cstheme="minorEastAsia"/>
          <w:b/>
          <w:bCs/>
          <w:color w:val="auto"/>
          <w:sz w:val="32"/>
          <w:szCs w:val="32"/>
          <w:highlight w:val="none"/>
          <w:u w:val="single"/>
        </w:rPr>
        <w:t xml:space="preserve"> </w:t>
      </w:r>
      <w:r>
        <w:rPr>
          <w:rFonts w:hint="eastAsia" w:asciiTheme="minorEastAsia" w:hAnsiTheme="minorEastAsia" w:eastAsiaTheme="minorEastAsia" w:cstheme="minorEastAsia"/>
          <w:b/>
          <w:bCs/>
          <w:color w:val="auto"/>
          <w:sz w:val="32"/>
          <w:szCs w:val="32"/>
          <w:highlight w:val="none"/>
          <w:u w:val="single"/>
          <w:lang w:eastAsia="zh-CN"/>
        </w:rPr>
        <w:t xml:space="preserve"> </w:t>
      </w:r>
      <w:r>
        <w:rPr>
          <w:rFonts w:hint="eastAsia" w:asciiTheme="minorEastAsia" w:hAnsiTheme="minorEastAsia" w:eastAsiaTheme="minorEastAsia" w:cstheme="minorEastAsia"/>
          <w:b/>
          <w:bCs/>
          <w:color w:val="auto"/>
          <w:sz w:val="32"/>
          <w:szCs w:val="32"/>
          <w:highlight w:val="none"/>
          <w:u w:val="single"/>
          <w:lang w:val="en-US" w:eastAsia="zh-CN"/>
        </w:rPr>
        <w:t xml:space="preserve">                                 </w:t>
      </w:r>
    </w:p>
    <w:p w14:paraId="384B57AC">
      <w:pPr>
        <w:keepNext w:val="0"/>
        <w:keepLines w:val="0"/>
        <w:pageBreakBefore w:val="0"/>
        <w:kinsoku/>
        <w:wordWrap/>
        <w:overflowPunct/>
        <w:topLinePunct w:val="0"/>
        <w:autoSpaceDE/>
        <w:autoSpaceDN/>
        <w:bidi w:val="0"/>
        <w:adjustRightInd/>
        <w:snapToGrid/>
        <w:spacing w:line="360" w:lineRule="auto"/>
        <w:ind w:firstLine="964" w:firstLineChars="300"/>
        <w:textAlignment w:val="auto"/>
        <w:outlineLvl w:val="9"/>
        <w:rPr>
          <w:rFonts w:hint="eastAsia" w:asciiTheme="minorEastAsia" w:hAnsiTheme="minorEastAsia" w:eastAsiaTheme="minorEastAsia" w:cstheme="minorEastAsia"/>
          <w:b/>
          <w:bCs/>
          <w:color w:val="auto"/>
          <w:sz w:val="32"/>
          <w:szCs w:val="32"/>
          <w:highlight w:val="none"/>
        </w:rPr>
      </w:pPr>
      <w:r>
        <w:rPr>
          <w:rFonts w:hint="eastAsia" w:asciiTheme="minorEastAsia" w:hAnsiTheme="minorEastAsia" w:eastAsiaTheme="minorEastAsia" w:cstheme="minorEastAsia"/>
          <w:b/>
          <w:bCs/>
          <w:color w:val="auto"/>
          <w:sz w:val="32"/>
          <w:szCs w:val="32"/>
          <w:highlight w:val="none"/>
          <w:lang w:val="en-US" w:eastAsia="zh-CN"/>
        </w:rPr>
        <w:t>签订时间</w:t>
      </w:r>
      <w:r>
        <w:rPr>
          <w:rFonts w:hint="eastAsia" w:asciiTheme="minorEastAsia" w:hAnsiTheme="minorEastAsia" w:eastAsiaTheme="minorEastAsia" w:cstheme="minorEastAsia"/>
          <w:b/>
          <w:bCs/>
          <w:color w:val="auto"/>
          <w:sz w:val="32"/>
          <w:szCs w:val="32"/>
          <w:highlight w:val="none"/>
        </w:rPr>
        <w:t>：</w:t>
      </w:r>
      <w:r>
        <w:rPr>
          <w:rFonts w:hint="eastAsia" w:asciiTheme="minorEastAsia" w:hAnsiTheme="minorEastAsia" w:eastAsiaTheme="minorEastAsia" w:cstheme="minorEastAsia"/>
          <w:b/>
          <w:bCs/>
          <w:color w:val="auto"/>
          <w:sz w:val="32"/>
          <w:szCs w:val="32"/>
          <w:highlight w:val="none"/>
          <w:u w:val="single"/>
        </w:rPr>
        <w:t xml:space="preserve">      </w:t>
      </w:r>
      <w:r>
        <w:rPr>
          <w:rFonts w:hint="eastAsia" w:asciiTheme="minorEastAsia" w:hAnsiTheme="minorEastAsia" w:eastAsiaTheme="minorEastAsia" w:cstheme="minorEastAsia"/>
          <w:b/>
          <w:bCs/>
          <w:color w:val="auto"/>
          <w:sz w:val="32"/>
          <w:szCs w:val="32"/>
          <w:highlight w:val="none"/>
          <w:u w:val="single"/>
          <w:lang w:val="en-US" w:eastAsia="zh-CN"/>
        </w:rPr>
        <w:t xml:space="preserve">      年    月    日        </w:t>
      </w:r>
      <w:r>
        <w:rPr>
          <w:rFonts w:hint="eastAsia" w:asciiTheme="minorEastAsia" w:hAnsiTheme="minorEastAsia" w:eastAsiaTheme="minorEastAsia" w:cstheme="minorEastAsia"/>
          <w:b/>
          <w:bCs/>
          <w:color w:val="auto"/>
          <w:sz w:val="32"/>
          <w:szCs w:val="32"/>
          <w:highlight w:val="none"/>
        </w:rPr>
        <w:br w:type="page"/>
      </w:r>
    </w:p>
    <w:p w14:paraId="38C4A041">
      <w:pPr>
        <w:pageBreakBefore w:val="0"/>
        <w:kinsoku/>
        <w:overflowPunct/>
        <w:bidi w:val="0"/>
        <w:spacing w:before="120" w:beforeLines="50" w:line="360" w:lineRule="auto"/>
        <w:jc w:val="center"/>
        <w:textAlignment w:val="auto"/>
        <w:outlineLvl w:val="9"/>
        <w:rPr>
          <w:rFonts w:hint="eastAsia" w:asciiTheme="minorEastAsia" w:hAnsiTheme="minorEastAsia" w:eastAsiaTheme="minorEastAsia" w:cstheme="minorEastAsia"/>
          <w:b/>
          <w:bCs/>
          <w:color w:val="auto"/>
          <w:kern w:val="0"/>
          <w:sz w:val="24"/>
          <w:szCs w:val="24"/>
          <w:highlight w:val="none"/>
        </w:rPr>
      </w:pPr>
      <w:r>
        <w:rPr>
          <w:rFonts w:hint="eastAsia" w:asciiTheme="minorEastAsia" w:hAnsiTheme="minorEastAsia" w:eastAsiaTheme="minorEastAsia" w:cstheme="minorEastAsia"/>
          <w:b/>
          <w:bCs/>
          <w:color w:val="auto"/>
          <w:kern w:val="0"/>
          <w:sz w:val="24"/>
          <w:szCs w:val="24"/>
          <w:highlight w:val="none"/>
        </w:rPr>
        <w:t>第一部分  协议书</w:t>
      </w:r>
    </w:p>
    <w:p w14:paraId="3871C55F">
      <w:pPr>
        <w:pageBreakBefore w:val="0"/>
        <w:widowControl/>
        <w:kinsoku/>
        <w:overflowPunct/>
        <w:bidi w:val="0"/>
        <w:spacing w:line="360" w:lineRule="auto"/>
        <w:jc w:val="left"/>
        <w:textAlignment w:val="auto"/>
        <w:outlineLvl w:val="9"/>
        <w:rPr>
          <w:rFonts w:hint="eastAsia" w:asciiTheme="minorEastAsia" w:hAnsiTheme="minorEastAsia" w:eastAsiaTheme="minorEastAsia" w:cstheme="minorEastAsia"/>
          <w:color w:val="auto"/>
          <w:kern w:val="0"/>
          <w:sz w:val="24"/>
          <w:szCs w:val="24"/>
          <w:highlight w:val="none"/>
        </w:rPr>
      </w:pPr>
    </w:p>
    <w:p w14:paraId="488ADEF9">
      <w:pPr>
        <w:pageBreakBefore w:val="0"/>
        <w:kinsoku/>
        <w:overflowPunct/>
        <w:bidi w:val="0"/>
        <w:spacing w:line="360" w:lineRule="auto"/>
        <w:ind w:firstLine="422"/>
        <w:textAlignment w:val="auto"/>
        <w:outlineLvl w:val="9"/>
        <w:rPr>
          <w:rFonts w:hint="eastAsia" w:asciiTheme="minorEastAsia" w:hAnsiTheme="minorEastAsia" w:eastAsiaTheme="minorEastAsia" w:cstheme="minorEastAsia"/>
          <w:color w:val="auto"/>
          <w:sz w:val="24"/>
          <w:szCs w:val="24"/>
          <w:highlight w:val="none"/>
          <w:u w:val="single"/>
          <w:lang w:val="en-US" w:eastAsia="zh-CN"/>
        </w:rPr>
      </w:pPr>
      <w:r>
        <w:rPr>
          <w:rFonts w:hint="eastAsia" w:asciiTheme="minorEastAsia" w:hAnsiTheme="minorEastAsia" w:eastAsiaTheme="minorEastAsia" w:cstheme="minorEastAsia"/>
          <w:b/>
          <w:color w:val="auto"/>
          <w:sz w:val="24"/>
          <w:szCs w:val="24"/>
          <w:highlight w:val="none"/>
        </w:rPr>
        <w:t>发包人（全称）：</w:t>
      </w:r>
      <w:r>
        <w:rPr>
          <w:rFonts w:hint="eastAsia" w:asciiTheme="minorEastAsia" w:hAnsiTheme="minorEastAsia" w:eastAsiaTheme="minorEastAsia" w:cstheme="minorEastAsia"/>
          <w:color w:val="auto"/>
          <w:sz w:val="24"/>
          <w:szCs w:val="24"/>
          <w:highlight w:val="none"/>
          <w:u w:val="single"/>
          <w:lang w:val="en-US" w:eastAsia="zh-CN"/>
        </w:rPr>
        <w:t>西安市阎良区教育局</w:t>
      </w:r>
    </w:p>
    <w:p w14:paraId="7720592C">
      <w:pPr>
        <w:pageBreakBefore w:val="0"/>
        <w:kinsoku/>
        <w:overflowPunct/>
        <w:bidi w:val="0"/>
        <w:spacing w:line="360" w:lineRule="auto"/>
        <w:ind w:firstLine="422"/>
        <w:textAlignment w:val="auto"/>
        <w:outlineLvl w:val="9"/>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b/>
          <w:color w:val="auto"/>
          <w:sz w:val="24"/>
          <w:szCs w:val="24"/>
          <w:highlight w:val="none"/>
        </w:rPr>
        <w:t>承包人（全称）：</w:t>
      </w:r>
      <w:r>
        <w:rPr>
          <w:rFonts w:hint="eastAsia" w:asciiTheme="minorEastAsia" w:hAnsiTheme="minorEastAsia" w:eastAsiaTheme="minorEastAsia" w:cstheme="minorEastAsia"/>
          <w:color w:val="auto"/>
          <w:sz w:val="24"/>
          <w:szCs w:val="24"/>
          <w:highlight w:val="none"/>
          <w:u w:val="single"/>
        </w:rPr>
        <w:t xml:space="preserve">（承包人全称）  </w:t>
      </w:r>
    </w:p>
    <w:p w14:paraId="2900583E">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发包人（简称“甲方”）：</w:t>
      </w:r>
    </w:p>
    <w:p w14:paraId="1BA12881">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承包人（简称“乙方”）：</w:t>
      </w:r>
    </w:p>
    <w:p w14:paraId="1F967F50">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依照《中华人民共和国民法典》、《中华人民共和国建筑法》，依据《中华人民共和国政府采购法》、《中华人民共和国招标投标法》及其他有关法律、行政法规，遵循平等、自愿、公平和诚实信用的原则，甲乙双方就本项目工程施工项协商一致，依据磋商及响应文件、成交通知书，订立本合同。</w:t>
      </w:r>
    </w:p>
    <w:p w14:paraId="4F7031FC">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第一条工程概况</w:t>
      </w:r>
    </w:p>
    <w:p w14:paraId="30EE7D30">
      <w:pP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工程名称：</w:t>
      </w:r>
      <w:r>
        <w:rPr>
          <w:rFonts w:hint="eastAsia" w:asciiTheme="minorEastAsia" w:hAnsiTheme="minorEastAsia" w:eastAsiaTheme="minorEastAsia" w:cstheme="minorEastAsia"/>
          <w:sz w:val="24"/>
          <w:szCs w:val="24"/>
          <w:lang w:eastAsia="zh-CN"/>
        </w:rPr>
        <w:t>阎良区2026年3所中小学维修改造项目</w:t>
      </w:r>
    </w:p>
    <w:p w14:paraId="1682C213">
      <w:pPr>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工程地点：</w:t>
      </w:r>
      <w:r>
        <w:rPr>
          <w:rFonts w:hint="eastAsia" w:asciiTheme="minorEastAsia" w:hAnsiTheme="minorEastAsia" w:eastAsiaTheme="minorEastAsia" w:cstheme="minorEastAsia"/>
          <w:sz w:val="24"/>
          <w:szCs w:val="24"/>
          <w:lang w:val="en-US" w:eastAsia="zh-CN"/>
        </w:rPr>
        <w:t>采购人指定地点</w:t>
      </w:r>
    </w:p>
    <w:p w14:paraId="264CB205">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工程内容：</w:t>
      </w:r>
      <w:r>
        <w:rPr>
          <w:rFonts w:hint="eastAsia" w:asciiTheme="minorEastAsia" w:hAnsiTheme="minorEastAsia" w:eastAsiaTheme="minorEastAsia" w:cstheme="minorEastAsia"/>
          <w:sz w:val="24"/>
          <w:szCs w:val="24"/>
          <w:lang w:eastAsia="zh-CN"/>
        </w:rPr>
        <w:t>阎良区2026年3所中小学维修改造项目，</w:t>
      </w:r>
      <w:r>
        <w:rPr>
          <w:rFonts w:hint="eastAsia" w:asciiTheme="minorEastAsia" w:hAnsiTheme="minorEastAsia" w:eastAsiaTheme="minorEastAsia" w:cstheme="minorEastAsia"/>
          <w:sz w:val="24"/>
          <w:szCs w:val="24"/>
        </w:rPr>
        <w:t>详见设计图纸及工程量清单。</w:t>
      </w:r>
    </w:p>
    <w:p w14:paraId="32FE3B27">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第二条工程发包方式：</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w:t>
      </w:r>
    </w:p>
    <w:p w14:paraId="626C2A0F">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第三条合同履行期限：</w:t>
      </w:r>
      <w:r>
        <w:rPr>
          <w:rFonts w:hint="eastAsia" w:asciiTheme="minorEastAsia" w:hAnsiTheme="minorEastAsia" w:eastAsiaTheme="minorEastAsia" w:cstheme="minorEastAsia"/>
          <w:sz w:val="24"/>
          <w:szCs w:val="24"/>
          <w:u w:val="single"/>
        </w:rPr>
        <w:t>自进场之日起</w:t>
      </w:r>
      <w:r>
        <w:rPr>
          <w:rFonts w:hint="eastAsia" w:asciiTheme="minorEastAsia" w:hAnsiTheme="minorEastAsia" w:eastAsiaTheme="minorEastAsia" w:cstheme="minorEastAsia"/>
          <w:sz w:val="24"/>
          <w:szCs w:val="24"/>
          <w:u w:val="single"/>
          <w:lang w:val="en-US" w:eastAsia="zh-CN"/>
        </w:rPr>
        <w:t xml:space="preserve">   </w:t>
      </w:r>
      <w:bookmarkStart w:id="1" w:name="_GoBack"/>
      <w:bookmarkEnd w:id="1"/>
      <w:r>
        <w:rPr>
          <w:rFonts w:hint="eastAsia" w:asciiTheme="minorEastAsia" w:hAnsiTheme="minorEastAsia" w:eastAsiaTheme="minorEastAsia" w:cstheme="minorEastAsia"/>
          <w:sz w:val="24"/>
          <w:szCs w:val="24"/>
          <w:u w:val="single"/>
        </w:rPr>
        <w:t>个日历日内竣工。</w:t>
      </w:r>
    </w:p>
    <w:p w14:paraId="26FC69A0">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第四条质量标准</w:t>
      </w:r>
    </w:p>
    <w:p w14:paraId="3FE90F95">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工程质量标准：符合国家现行有关施工质量验收规范“合格”要求。</w:t>
      </w:r>
    </w:p>
    <w:p w14:paraId="7CF911FC">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质量保修范围：承包人承担的所有工程。</w:t>
      </w:r>
    </w:p>
    <w:p w14:paraId="5556F1B5">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质量保修期：自工程竣工验收合格之日起二年。</w:t>
      </w:r>
    </w:p>
    <w:p w14:paraId="59A48AB4">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第六条安全文明施工</w:t>
      </w:r>
    </w:p>
    <w:p w14:paraId="009979FD">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承包人应按照西安市文明工地的要求切实做好安全及文明施工、环境保护等工作。对安全生产、文明施工、环境保护等方面必须制定出明确的和具体的措施。</w:t>
      </w:r>
    </w:p>
    <w:p w14:paraId="78776164">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第七条验收标准</w:t>
      </w:r>
    </w:p>
    <w:p w14:paraId="7EF3C65C">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符合国家相关质量标准或行业标准。</w:t>
      </w:r>
    </w:p>
    <w:p w14:paraId="6630BE5B">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第八条工程结算</w:t>
      </w:r>
    </w:p>
    <w:p w14:paraId="5C82D414">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1</w:t>
      </w:r>
      <w:r>
        <w:rPr>
          <w:rFonts w:hint="eastAsia" w:asciiTheme="minorEastAsia" w:hAnsiTheme="minorEastAsia" w:eastAsiaTheme="minorEastAsia" w:cstheme="minorEastAsia"/>
          <w:sz w:val="24"/>
          <w:szCs w:val="24"/>
        </w:rPr>
        <w:t>、本价款包括完成该工程项目的直接费、间接费、利润、税金、保险费、施工方案（由发包人另行委托设计的除外）、验收及办理相关手续、施工现场协调（征地拆迁费、青苗补偿除外）和承包人必需的其它费用以及所有风险、责任和义务等全部费用。</w:t>
      </w:r>
    </w:p>
    <w:p w14:paraId="1AC450E9">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第九条工程款及支付方式</w:t>
      </w:r>
    </w:p>
    <w:p w14:paraId="0633FF30">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1.合同暂定价（含税价）为人民币</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元（大写：</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）。最终价款以航空基地财政局委托的第三方评审机构出具的评审报告审定金额为准（结算审减率超出5%部分的评审费用由施工单位承担）。</w:t>
      </w:r>
    </w:p>
    <w:p w14:paraId="121AD880">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2、工程款支付方式：合同签订后，项目完成并验收合格后甲方向乙方支付合同款的 70%，待结算审计完成后甲方向乙方支付至项目结算价款的100%，乙方要在项目质保期间严格履行好质保责任。</w:t>
      </w:r>
    </w:p>
    <w:p w14:paraId="45F8C0EC">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合同价款类型：采用固定综合单价合同，综合单价中包括的风险范围：①招标同期陕西工程造价管理信息（材料信息价）中所列相应品种、规格材料的价格，与材料供应时当期陕西工程造价管理信息（材料信息价）中所列同种品种规格材料的价格对比，上涨与降低幅度在5%（含5%）以内；②人工、机械台班单价的变动（国家或造价主管部门有调价规定除外）；③发生的自然灾害、雨季施工的防雨措施费、停水、停电及停窝工在一周内累计小于8小时的费用。</w:t>
      </w:r>
    </w:p>
    <w:p w14:paraId="2D8B872A">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风险范围以外合同价格的调整方法：招标同期材料信息价中所列相应品种规格材料的价格，与材料供应时当期材料信息价中所列同种品种规格材料的价格相比，上涨或降低幅度超过5%（不含5%）时，按上涨或降低超过5%后的比率，并以招标同期材料信息价中所列相应品种规格材料的价格为基础，计算增加或减少的材料费，工程结算时将此费用置于差价位置，除规费和税金外不再计取其他费用。</w:t>
      </w:r>
    </w:p>
    <w:p w14:paraId="24C10DC5">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4、新增工程变更价款</w:t>
      </w:r>
    </w:p>
    <w:p w14:paraId="68E3F4A1">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变更及新增工程量按变更图纸或变更单按实结算；现场签证按现场签证单据实结算；</w:t>
      </w:r>
    </w:p>
    <w:p w14:paraId="502A6B05">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变更签证或新增工程的综合单价结算确定原则：</w:t>
      </w:r>
    </w:p>
    <w:p w14:paraId="477C612A">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（1）合同中已有适用于变更工程的综合单价或价格，按合同已有的综合单价或价格变更合同价款；</w:t>
      </w:r>
    </w:p>
    <w:p w14:paraId="6E23280B">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（2）合同中只有类似于变更工程的综合单价或价格，可以参照类似综合单价或价格变更合同价款；</w:t>
      </w:r>
    </w:p>
    <w:p w14:paraId="71E7F373">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（3）合同中没有适用或类似于</w:t>
      </w:r>
      <w:r>
        <w:rPr>
          <w:rFonts w:hint="eastAsia" w:asciiTheme="minorEastAsia" w:hAnsiTheme="minorEastAsia" w:eastAsiaTheme="minorEastAsia" w:cstheme="minorEastAsia"/>
          <w:sz w:val="24"/>
          <w:szCs w:val="24"/>
          <w:highlight w:val="none"/>
        </w:rPr>
        <w:t>变更工程的综合单价或价格，依据陕西省《建设工程工程量清单计价标准》由供应商提出综合单价</w:t>
      </w:r>
      <w:r>
        <w:rPr>
          <w:rFonts w:hint="eastAsia" w:asciiTheme="minorEastAsia" w:hAnsiTheme="minorEastAsia" w:eastAsiaTheme="minorEastAsia" w:cstheme="minorEastAsia"/>
          <w:sz w:val="24"/>
          <w:szCs w:val="24"/>
        </w:rPr>
        <w:t>（按照人工费调整计入差价模式取费，并参照成交总价与最高限价的下浮比例进行下浮计算，投标已有材料价格或采购人认价不参与下浮），经采购人委托审计机构审核后确认。</w:t>
      </w:r>
    </w:p>
    <w:p w14:paraId="61081F3E">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第十条工程预付款：</w:t>
      </w:r>
      <w:r>
        <w:rPr>
          <w:rFonts w:hint="eastAsia" w:asciiTheme="minorEastAsia" w:hAnsiTheme="minorEastAsia" w:eastAsiaTheme="minorEastAsia" w:cstheme="minorEastAsia"/>
          <w:sz w:val="24"/>
          <w:szCs w:val="24"/>
          <w:u w:val="single"/>
        </w:rPr>
        <w:t xml:space="preserve">            </w:t>
      </w:r>
    </w:p>
    <w:p w14:paraId="77F3A169">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第十一条组成合同的文件</w:t>
      </w:r>
    </w:p>
    <w:p w14:paraId="19F06729">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组成本合同的文件包括：</w:t>
      </w:r>
    </w:p>
    <w:p w14:paraId="7CCE4FA4">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1、本合同协议书</w:t>
      </w:r>
    </w:p>
    <w:p w14:paraId="2AA6E04C">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2、工程量清单</w:t>
      </w:r>
    </w:p>
    <w:p w14:paraId="27FAF5BF">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3、标准、规范及有关技术文件</w:t>
      </w:r>
    </w:p>
    <w:p w14:paraId="4115295E">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4、工程竣工验收报告</w:t>
      </w:r>
    </w:p>
    <w:p w14:paraId="40E05DB2">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5、磋商文件、响应文件、成交通知书</w:t>
      </w:r>
    </w:p>
    <w:p w14:paraId="050FD1B7">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双方有关工程的洽商、变更等书面协议或文件视为本合同的组成部分。</w:t>
      </w:r>
    </w:p>
    <w:p w14:paraId="5EC2BF92">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第十二条承包人向发包人承诺按照合同约定施工、竣工并在质量保修期内承担工程质量保修责任。</w:t>
      </w:r>
    </w:p>
    <w:p w14:paraId="21A700F3">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第十三条违约责任</w:t>
      </w:r>
    </w:p>
    <w:p w14:paraId="2DAD5F67">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 发包人违约</w:t>
      </w:r>
    </w:p>
    <w:p w14:paraId="1C711DB0">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1.1发包人违约的情形</w:t>
      </w:r>
    </w:p>
    <w:p w14:paraId="195145F6">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发包人违约的其他情形：</w:t>
      </w:r>
      <w:r>
        <w:rPr>
          <w:rFonts w:hint="eastAsia" w:asciiTheme="minorEastAsia" w:hAnsiTheme="minorEastAsia" w:eastAsiaTheme="minorEastAsia" w:cstheme="minorEastAsia"/>
          <w:sz w:val="24"/>
          <w:szCs w:val="24"/>
          <w:u w:val="single"/>
        </w:rPr>
        <w:t xml:space="preserve">                  /             </w:t>
      </w:r>
      <w:r>
        <w:rPr>
          <w:rFonts w:hint="eastAsia" w:asciiTheme="minorEastAsia" w:hAnsiTheme="minorEastAsia" w:eastAsiaTheme="minorEastAsia" w:cstheme="minorEastAsia"/>
          <w:sz w:val="24"/>
          <w:szCs w:val="24"/>
        </w:rPr>
        <w:t>。</w:t>
      </w:r>
    </w:p>
    <w:p w14:paraId="0304745F">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1.2 发包人违约的责任</w:t>
      </w:r>
    </w:p>
    <w:p w14:paraId="3E8F9C10">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发包人违约责任的承担方式和计算方法：</w:t>
      </w:r>
    </w:p>
    <w:p w14:paraId="4B3FD1A2">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（1）因发包人原因未能在计划开工日期前7天内下达开工通知的违约责任：</w:t>
      </w:r>
      <w:r>
        <w:rPr>
          <w:rFonts w:hint="eastAsia" w:asciiTheme="minorEastAsia" w:hAnsiTheme="minorEastAsia" w:eastAsiaTheme="minorEastAsia" w:cstheme="minorEastAsia"/>
          <w:sz w:val="24"/>
          <w:szCs w:val="24"/>
          <w:u w:val="single"/>
        </w:rPr>
        <w:t>执行通用合同条款</w:t>
      </w:r>
      <w:r>
        <w:rPr>
          <w:rFonts w:hint="eastAsia" w:asciiTheme="minorEastAsia" w:hAnsiTheme="minorEastAsia" w:eastAsiaTheme="minorEastAsia" w:cstheme="minorEastAsia"/>
          <w:sz w:val="24"/>
          <w:szCs w:val="24"/>
        </w:rPr>
        <w:t>。</w:t>
      </w:r>
    </w:p>
    <w:p w14:paraId="06329A63">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（2）因发包人原因未能按合同约定支付合同价款的违约责任：</w:t>
      </w:r>
      <w:r>
        <w:rPr>
          <w:rFonts w:hint="eastAsia" w:asciiTheme="minorEastAsia" w:hAnsiTheme="minorEastAsia" w:eastAsiaTheme="minorEastAsia" w:cstheme="minorEastAsia"/>
          <w:sz w:val="24"/>
          <w:szCs w:val="24"/>
          <w:u w:val="single"/>
        </w:rPr>
        <w:t xml:space="preserve">  执行通用合同条款  </w:t>
      </w:r>
      <w:r>
        <w:rPr>
          <w:rFonts w:hint="eastAsia" w:asciiTheme="minorEastAsia" w:hAnsiTheme="minorEastAsia" w:eastAsiaTheme="minorEastAsia" w:cstheme="minorEastAsia"/>
          <w:sz w:val="24"/>
          <w:szCs w:val="24"/>
        </w:rPr>
        <w:t>。</w:t>
      </w:r>
    </w:p>
    <w:p w14:paraId="4CC20224">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（3）发包人违反第10.1款〔变更的范围〕第（2）项约定，自行实施被取消的工作或转由他人实施的违约责任：</w:t>
      </w:r>
      <w:r>
        <w:rPr>
          <w:rFonts w:hint="eastAsia" w:asciiTheme="minorEastAsia" w:hAnsiTheme="minorEastAsia" w:eastAsiaTheme="minorEastAsia" w:cstheme="minorEastAsia"/>
          <w:sz w:val="24"/>
          <w:szCs w:val="24"/>
          <w:u w:val="single"/>
        </w:rPr>
        <w:t xml:space="preserve">  执行通用合同条款   </w:t>
      </w:r>
      <w:r>
        <w:rPr>
          <w:rFonts w:hint="eastAsia" w:asciiTheme="minorEastAsia" w:hAnsiTheme="minorEastAsia" w:eastAsiaTheme="minorEastAsia" w:cstheme="minorEastAsia"/>
          <w:sz w:val="24"/>
          <w:szCs w:val="24"/>
        </w:rPr>
        <w:t>。</w:t>
      </w:r>
    </w:p>
    <w:p w14:paraId="37443DDB">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（4）发包人提供的材料、工程设备的规格、数量或质量不符合合同约定，或因发包人原因导致交货日期延误或交货地点变更等情况的违约责任：</w:t>
      </w:r>
      <w:r>
        <w:rPr>
          <w:rFonts w:hint="eastAsia" w:asciiTheme="minorEastAsia" w:hAnsiTheme="minorEastAsia" w:eastAsiaTheme="minorEastAsia" w:cstheme="minorEastAsia"/>
          <w:sz w:val="24"/>
          <w:szCs w:val="24"/>
          <w:u w:val="single"/>
        </w:rPr>
        <w:t xml:space="preserve">  执行通用合同条款  </w:t>
      </w:r>
      <w:r>
        <w:rPr>
          <w:rFonts w:hint="eastAsia" w:asciiTheme="minorEastAsia" w:hAnsiTheme="minorEastAsia" w:eastAsiaTheme="minorEastAsia" w:cstheme="minorEastAsia"/>
          <w:sz w:val="24"/>
          <w:szCs w:val="24"/>
        </w:rPr>
        <w:t>。</w:t>
      </w:r>
    </w:p>
    <w:p w14:paraId="546AE8C8">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（5）因发包人违反合同约定造成暂停施工的违约责任：</w:t>
      </w:r>
      <w:r>
        <w:rPr>
          <w:rFonts w:hint="eastAsia" w:asciiTheme="minorEastAsia" w:hAnsiTheme="minorEastAsia" w:eastAsiaTheme="minorEastAsia" w:cstheme="minorEastAsia"/>
          <w:sz w:val="24"/>
          <w:szCs w:val="24"/>
          <w:u w:val="single"/>
        </w:rPr>
        <w:t xml:space="preserve">  执行通用合同条款   </w:t>
      </w:r>
      <w:r>
        <w:rPr>
          <w:rFonts w:hint="eastAsia" w:asciiTheme="minorEastAsia" w:hAnsiTheme="minorEastAsia" w:eastAsiaTheme="minorEastAsia" w:cstheme="minorEastAsia"/>
          <w:sz w:val="24"/>
          <w:szCs w:val="24"/>
        </w:rPr>
        <w:t>。</w:t>
      </w:r>
    </w:p>
    <w:p w14:paraId="1141F696">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（6）发包人无正当理由没有在约定期限内发出复工指示，导致承包人无法复工的违约责任：</w:t>
      </w:r>
      <w:r>
        <w:rPr>
          <w:rFonts w:hint="eastAsia" w:asciiTheme="minorEastAsia" w:hAnsiTheme="minorEastAsia" w:eastAsiaTheme="minorEastAsia" w:cstheme="minorEastAsia"/>
          <w:sz w:val="24"/>
          <w:szCs w:val="24"/>
          <w:u w:val="single"/>
        </w:rPr>
        <w:t xml:space="preserve">  执行通用合同条款   </w:t>
      </w:r>
      <w:r>
        <w:rPr>
          <w:rFonts w:hint="eastAsia" w:asciiTheme="minorEastAsia" w:hAnsiTheme="minorEastAsia" w:eastAsiaTheme="minorEastAsia" w:cstheme="minorEastAsia"/>
          <w:sz w:val="24"/>
          <w:szCs w:val="24"/>
        </w:rPr>
        <w:t>。</w:t>
      </w:r>
    </w:p>
    <w:p w14:paraId="74EC5600">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（7）其他：</w:t>
      </w:r>
      <w:r>
        <w:rPr>
          <w:rFonts w:hint="eastAsia" w:asciiTheme="minorEastAsia" w:hAnsiTheme="minorEastAsia" w:eastAsiaTheme="minorEastAsia" w:cstheme="minorEastAsia"/>
          <w:sz w:val="24"/>
          <w:szCs w:val="24"/>
          <w:u w:val="single"/>
        </w:rPr>
        <w:t xml:space="preserve">                    /                     </w:t>
      </w:r>
      <w:r>
        <w:rPr>
          <w:rFonts w:hint="eastAsia" w:asciiTheme="minorEastAsia" w:hAnsiTheme="minorEastAsia" w:eastAsiaTheme="minorEastAsia" w:cstheme="minorEastAsia"/>
          <w:sz w:val="24"/>
          <w:szCs w:val="24"/>
        </w:rPr>
        <w:t>。</w:t>
      </w:r>
    </w:p>
    <w:p w14:paraId="4DCBD75F">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1.3 因发包人违约解除合同</w:t>
      </w:r>
    </w:p>
    <w:p w14:paraId="41DA3FF2">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承包人按16.1.1项〔发包人违约的情形〕约定暂停施工满 60 天后发包人仍不纠正其违约行为并致使合同目的不能实现的，承包人有权解除合同。</w:t>
      </w:r>
    </w:p>
    <w:p w14:paraId="39B3A3DB">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 承包人违约</w:t>
      </w:r>
    </w:p>
    <w:p w14:paraId="378425EE">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2.1 承包人违约的情形</w:t>
      </w:r>
    </w:p>
    <w:p w14:paraId="7861DC83">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（1）承包人在施工过程中偷工减料的，使用不合格的建筑材料、建筑构配件和设备的，或者不按照工程设计图纸或者施工技术标准施工的其它行为的，承担合同价款百分之二以上百分之四以下的违约金。</w:t>
      </w:r>
    </w:p>
    <w:p w14:paraId="5C8445CF">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（2）承包人未对建筑材料、建筑构配件、设备和商品混凝土进行检验，或者未对涉及结构安全的试块、试件以及有关材料取样检测的，责令整改，并承担5万元以上20万元以下的违约金。</w:t>
      </w:r>
    </w:p>
    <w:p w14:paraId="43059E1E">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2.2承包人违约的责任</w:t>
      </w:r>
    </w:p>
    <w:p w14:paraId="78963A49">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承包人违约责任的承担方式和计算方法：执行通用合同条款。</w:t>
      </w:r>
    </w:p>
    <w:p w14:paraId="675FA423">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2.3 因承包人违约解除合同</w:t>
      </w:r>
    </w:p>
    <w:p w14:paraId="0B75E49F">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关于承包人违约解除合同的特别约定：执行通用合同条款。</w:t>
      </w:r>
    </w:p>
    <w:p w14:paraId="4277125D">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发包人继续使用承包人在施工现场的材料、设备、临时工程、承包人文件和由承包人或以其名义编制的其他文件的费用承担方式：执行通用合同条款。</w:t>
      </w:r>
    </w:p>
    <w:p w14:paraId="7E32CDFA">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注：通用合同条款执行《建设工程施工合同》（GF-2017-0201）的“通用合同条款”。</w:t>
      </w:r>
    </w:p>
    <w:p w14:paraId="116DB16A">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（四）与本工程相关的特别说明：</w:t>
      </w:r>
    </w:p>
    <w:p w14:paraId="242CC0C4">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无</w:t>
      </w:r>
    </w:p>
    <w:p w14:paraId="2B515F3B">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第十四条双方责任</w:t>
      </w:r>
    </w:p>
    <w:p w14:paraId="643EAF47">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1、发包人应按照合同约定的期限和方式向承包人支付合同价款及其他应当支付的款项。</w:t>
      </w:r>
    </w:p>
    <w:p w14:paraId="6F420786">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承包人应安全文明管理，适应航空基地环境工作要求，在工作中，严格按照操作规程工作，杜绝任何人身设备事故的发生，如发生安全事故，承包人自行承担全部责任及经济损失。必须服从甲方指挥。必须按照安全技术规范进行施工。</w:t>
      </w:r>
    </w:p>
    <w:p w14:paraId="6A433467">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第十五条争议</w:t>
      </w:r>
    </w:p>
    <w:p w14:paraId="44D3622F">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本合同在履行过程中发生争议时，由甲乙双方当事人协商解决，协商不成的，可以向西安仲裁委员会提交仲裁申请。</w:t>
      </w:r>
    </w:p>
    <w:p w14:paraId="14555142">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第十六条合同份数</w:t>
      </w:r>
    </w:p>
    <w:p w14:paraId="5197713B">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三方约定合同正副本份数：正本三份，副本三份（甲乙双方及财政金融局各执正本壹份，副本壹份）。正、副本不一致时以正本为准。</w:t>
      </w:r>
    </w:p>
    <w:p w14:paraId="06C537D9">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第十七条合同生效</w:t>
      </w:r>
    </w:p>
    <w:p w14:paraId="3D5915E9">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合同订立时间： </w:t>
      </w:r>
      <w:r>
        <w:rPr>
          <w:rFonts w:hint="eastAsia" w:asciiTheme="minorEastAsia" w:hAnsiTheme="minorEastAsia" w:eastAsiaTheme="minorEastAsia" w:cstheme="minorEastAsia"/>
          <w:sz w:val="24"/>
          <w:szCs w:val="24"/>
          <w:u w:val="single"/>
        </w:rPr>
        <w:t xml:space="preserve">     年     月     日</w:t>
      </w:r>
    </w:p>
    <w:p w14:paraId="70888002">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合同终止时间： </w:t>
      </w:r>
      <w:r>
        <w:rPr>
          <w:rFonts w:hint="eastAsia" w:asciiTheme="minorEastAsia" w:hAnsiTheme="minorEastAsia" w:eastAsiaTheme="minorEastAsia" w:cstheme="minorEastAsia"/>
          <w:sz w:val="24"/>
          <w:szCs w:val="24"/>
          <w:u w:val="single"/>
        </w:rPr>
        <w:t xml:space="preserve">     年     月     日</w:t>
      </w:r>
    </w:p>
    <w:p w14:paraId="5346CF7D">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本合同双方约定自双方法人代表或授权代理人签字或盖章并加盖公章后生效。</w:t>
      </w:r>
    </w:p>
    <w:p w14:paraId="4818B898">
      <w:pPr>
        <w:rPr>
          <w:rFonts w:hint="eastAsia" w:asciiTheme="minorEastAsia" w:hAnsiTheme="minorEastAsia" w:eastAsiaTheme="minorEastAsia" w:cstheme="minorEastAsia"/>
          <w:sz w:val="24"/>
          <w:szCs w:val="24"/>
        </w:rPr>
      </w:pPr>
    </w:p>
    <w:p w14:paraId="10B249F5">
      <w:pPr>
        <w:rPr>
          <w:rFonts w:hint="eastAsia" w:asciiTheme="minorEastAsia" w:hAnsiTheme="minorEastAsia" w:eastAsiaTheme="minorEastAsia" w:cstheme="minorEastAsia"/>
          <w:sz w:val="24"/>
          <w:szCs w:val="24"/>
        </w:rPr>
      </w:pPr>
    </w:p>
    <w:p w14:paraId="703F9B73">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（本页无正文）</w:t>
      </w:r>
    </w:p>
    <w:p w14:paraId="480B8E47">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甲方（公章） ：                     乙方（公章）：                </w:t>
      </w:r>
    </w:p>
    <w:p w14:paraId="331C4EF0">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法定代表人：                        法定代表人：                  </w:t>
      </w:r>
    </w:p>
    <w:p w14:paraId="2A5BEF4C">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或委托代理人：：                    或委托代理人：                </w:t>
      </w:r>
    </w:p>
    <w:p w14:paraId="6182AA0E">
      <w:pPr>
        <w:rPr>
          <w:rFonts w:hint="eastAsia" w:asciiTheme="minorEastAsia" w:hAnsiTheme="minorEastAsia" w:eastAsiaTheme="minorEastAsia" w:cstheme="minorEastAsia"/>
          <w:sz w:val="24"/>
          <w:szCs w:val="24"/>
        </w:rPr>
      </w:pPr>
    </w:p>
    <w:p w14:paraId="2C5A595C">
      <w:pPr>
        <w:rPr>
          <w:rFonts w:hint="eastAsia"/>
        </w:rPr>
      </w:pPr>
      <w:r>
        <w:rPr>
          <w:rFonts w:hint="eastAsia" w:asciiTheme="minorEastAsia" w:hAnsiTheme="minorEastAsia" w:eastAsiaTheme="minorEastAsia" w:cstheme="minorEastAsia"/>
          <w:sz w:val="24"/>
          <w:szCs w:val="24"/>
        </w:rPr>
        <w:t>年   月   日                        年   月   日</w:t>
      </w:r>
    </w:p>
    <w:p w14:paraId="02C0BDDE"/>
    <w:p w14:paraId="7CAB45D9">
      <w:pPr>
        <w:rPr>
          <w:rFonts w:hint="eastAsia" w:asciiTheme="minorEastAsia" w:hAnsiTheme="minorEastAsia" w:eastAsiaTheme="minorEastAsia" w:cstheme="minorEastAsia"/>
        </w:rPr>
      </w:pPr>
    </w:p>
    <w:sectPr>
      <w:pgSz w:w="11906" w:h="16838"/>
      <w:pgMar w:top="1440" w:right="1587" w:bottom="1440" w:left="158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EA70DE3"/>
    <w:rsid w:val="22DD7B78"/>
    <w:rsid w:val="24074370"/>
    <w:rsid w:val="34297918"/>
    <w:rsid w:val="3C6B792F"/>
    <w:rsid w:val="4BDE3999"/>
    <w:rsid w:val="6E7D2FA6"/>
    <w:rsid w:val="7C0279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iPriority="0" w:semiHidden="0" w:name="Normal"/>
    <w:lsdException w:qFormat="1"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spacing w:beforeLines="0" w:afterLines="0" w:line="360" w:lineRule="auto"/>
    </w:pPr>
    <w:rPr>
      <w:rFonts w:hint="default" w:ascii="Times New Roman" w:hAnsi="Times New Roman" w:eastAsia="仿宋" w:cs="仿宋"/>
      <w:snapToGrid w:val="0"/>
      <w:kern w:val="36"/>
      <w:sz w:val="10"/>
      <w:szCs w:val="40"/>
      <w:lang w:val="en-US" w:eastAsia="zh-CN" w:bidi="ar-SA"/>
    </w:rPr>
  </w:style>
  <w:style w:type="paragraph" w:styleId="2">
    <w:name w:val="heading 1"/>
    <w:basedOn w:val="1"/>
    <w:next w:val="1"/>
    <w:unhideWhenUsed/>
    <w:qFormat/>
    <w:uiPriority w:val="99"/>
    <w:pPr>
      <w:keepNext/>
      <w:keepLines/>
      <w:spacing w:beforeLines="0" w:afterLines="0"/>
      <w:jc w:val="center"/>
      <w:outlineLvl w:val="0"/>
    </w:pPr>
    <w:rPr>
      <w:rFonts w:hint="default"/>
      <w:b/>
      <w:kern w:val="44"/>
      <w:sz w:val="32"/>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keepNext w:val="0"/>
      <w:keepLines w:val="0"/>
      <w:widowControl w:val="0"/>
      <w:suppressLineNumbers w:val="0"/>
      <w:spacing w:before="0" w:beforeAutospacing="0" w:after="0" w:afterAutospacing="0"/>
      <w:ind w:left="0" w:right="0" w:firstLine="420"/>
      <w:jc w:val="both"/>
    </w:pPr>
    <w:rPr>
      <w:rFonts w:hint="default" w:ascii="Times New Roman" w:hAnsi="Times New Roman" w:cs="Times New Roman"/>
      <w:kern w:val="2"/>
      <w:sz w:val="21"/>
      <w:szCs w:val="21"/>
      <w:lang w:val="en-US" w:eastAsia="zh-CN" w:bidi="ar"/>
    </w:rPr>
  </w:style>
  <w:style w:type="paragraph" w:styleId="4">
    <w:name w:val="Body Text"/>
    <w:basedOn w:val="1"/>
    <w:next w:val="1"/>
    <w:semiHidden/>
    <w:qFormat/>
    <w:uiPriority w:val="0"/>
    <w:rPr>
      <w:rFonts w:eastAsia="Arial"/>
    </w:rPr>
  </w:style>
  <w:style w:type="paragraph" w:styleId="5">
    <w:name w:val="Plain Text"/>
    <w:basedOn w:val="1"/>
    <w:qFormat/>
    <w:uiPriority w:val="0"/>
    <w:pPr>
      <w:keepNext w:val="0"/>
      <w:keepLines w:val="0"/>
      <w:widowControl w:val="0"/>
      <w:suppressLineNumbers w:val="0"/>
      <w:spacing w:before="0" w:beforeAutospacing="0" w:after="0" w:afterAutospacing="0"/>
      <w:ind w:left="0" w:right="0"/>
      <w:jc w:val="both"/>
    </w:pPr>
    <w:rPr>
      <w:rFonts w:hint="eastAsia" w:ascii="宋体" w:hAnsi="Courier New" w:eastAsia="宋体" w:cs="Courier New"/>
      <w:kern w:val="2"/>
      <w:sz w:val="21"/>
      <w:szCs w:val="21"/>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2951</Words>
  <Characters>2999</Characters>
  <Lines>0</Lines>
  <Paragraphs>0</Paragraphs>
  <TotalTime>1</TotalTime>
  <ScaleCrop>false</ScaleCrop>
  <LinksUpToDate>false</LinksUpToDate>
  <CharactersWithSpaces>3426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2025-05-27T04:42:00Z</dcterms:created>
  <dc:creator>GIGABYTE</dc:creator>
  <cp:lastModifiedBy>Y</cp:lastModifiedBy>
  <dcterms:modified xsi:type="dcterms:W3CDTF">2026-06-16T03:18:46Z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eyJoZGlkIjoiMGFkN2ZkYjAyZWFhMzBkYzQ5ZGY0MjkyMjEyZDAzZTQiLCJ1c2VySWQiOiIxMDMyOTA1OTI4In0=</vt:lpwstr>
  </property>
  <property fmtid="{D5CDD505-2E9C-101B-9397-08002B2CF9AE}" pid="4" name="ICV">
    <vt:lpwstr>FEDCB0F83E6F42D4B4C9C6027DD77725_12</vt:lpwstr>
  </property>
</Properties>
</file>