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版本号：ZMZB2026XAWL-8520260429001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心理生理实验平台项目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ZMZB2026XAWL-85</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心理生理实验平台项目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ZMZB2026XAWL-85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心理生理实验平台项目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64导联脑电记录系统、高精度眼动追踪系统、便携式近红外脑功能成像装置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采购包1（心理生理实验平台项目）：属于专门面向中小企业采购。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张倩 米文佳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计算。 供应商将招标代理服务费计入谈判报价但不单独列明，成交单位在领取成交通知书前，须向采购代理机构一次性支付招标代理服务费；代理服务费以转账、电汇或现金等形式交纳。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联系人：陕西卓佲项目管理有限公司</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64导联脑电记录系统、高精度眼动追踪系统、便携式近红外脑功能成像装置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西安文理学院心理生理实验平台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标的名称：西安文理学院心理生理实验平台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64导联脑电记录系统</w:t>
            </w:r>
            <w:r>
              <w:rPr>
                <w:rFonts w:ascii="仿宋_GB2312" w:hAnsi="仿宋_GB2312" w:cs="仿宋_GB2312" w:eastAsia="仿宋_GB2312"/>
                <w:b/>
              </w:rPr>
              <w:t xml:space="preserve">  </w:t>
            </w:r>
            <w:r>
              <w:rPr>
                <w:rFonts w:ascii="仿宋_GB2312" w:hAnsi="仿宋_GB2312" w:cs="仿宋_GB2312" w:eastAsia="仿宋_GB2312"/>
                <w:sz w:val="21"/>
                <w:b/>
              </w:rPr>
              <w:t xml:space="preserve">1套    </w:t>
            </w:r>
          </w:p>
          <w:p>
            <w:pPr>
              <w:pStyle w:val="null3"/>
              <w:jc w:val="both"/>
            </w:pPr>
            <w:r>
              <w:rPr>
                <w:rFonts w:ascii="仿宋_GB2312" w:hAnsi="仿宋_GB2312" w:cs="仿宋_GB2312" w:eastAsia="仿宋_GB2312"/>
                <w:sz w:val="20"/>
              </w:rPr>
              <w:t>（一）事件相关电位系统主机</w:t>
            </w:r>
          </w:p>
          <w:p>
            <w:pPr>
              <w:pStyle w:val="null3"/>
              <w:jc w:val="both"/>
            </w:pPr>
            <w:r>
              <w:rPr>
                <w:rFonts w:ascii="仿宋_GB2312" w:hAnsi="仿宋_GB2312" w:cs="仿宋_GB2312" w:eastAsia="仿宋_GB2312"/>
                <w:sz w:val="20"/>
              </w:rPr>
              <w:t>★1.脑电导联数：≥86导，其中单级导联64导，双极导联6导，刺激输出导联16导。（提供产品彩页或技术白皮书）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2.脑电放大器兼容tEs、TMS环境，并可与眼动系统、近红外同步采集，且与电刺激一体化设计、磁刺激信号干扰</w:t>
            </w:r>
            <w:r>
              <w:rPr>
                <w:rFonts w:ascii="仿宋_GB2312" w:hAnsi="仿宋_GB2312" w:cs="仿宋_GB2312" w:eastAsia="仿宋_GB2312"/>
                <w:sz w:val="21"/>
              </w:rPr>
              <w:t>≤</w:t>
            </w:r>
            <w:r>
              <w:rPr>
                <w:rFonts w:ascii="仿宋_GB2312" w:hAnsi="仿宋_GB2312" w:cs="仿宋_GB2312" w:eastAsia="仿宋_GB2312"/>
                <w:sz w:val="20"/>
              </w:rPr>
              <w:t>2ms；（脑电联合电刺激通过软件进行复用设置，提供软件截图）</w:t>
            </w:r>
          </w:p>
          <w:p>
            <w:pPr>
              <w:pStyle w:val="null3"/>
              <w:jc w:val="both"/>
            </w:pPr>
            <w:r>
              <w:rPr>
                <w:rFonts w:ascii="仿宋_GB2312" w:hAnsi="仿宋_GB2312" w:cs="仿宋_GB2312" w:eastAsia="仿宋_GB2312"/>
                <w:sz w:val="20"/>
              </w:rPr>
              <w:t>3.双主机设计，可拆分为</w:t>
            </w:r>
            <w:r>
              <w:rPr>
                <w:rFonts w:ascii="仿宋_GB2312" w:hAnsi="仿宋_GB2312" w:cs="仿宋_GB2312" w:eastAsia="仿宋_GB2312"/>
                <w:sz w:val="21"/>
              </w:rPr>
              <w:t>≥</w:t>
            </w:r>
            <w:r>
              <w:rPr>
                <w:rFonts w:ascii="仿宋_GB2312" w:hAnsi="仿宋_GB2312" w:cs="仿宋_GB2312" w:eastAsia="仿宋_GB2312"/>
                <w:sz w:val="20"/>
              </w:rPr>
              <w:t>43导联使用，单套设备支持</w:t>
            </w:r>
            <w:r>
              <w:rPr>
                <w:rFonts w:ascii="仿宋_GB2312" w:hAnsi="仿宋_GB2312" w:cs="仿宋_GB2312" w:eastAsia="仿宋_GB2312"/>
                <w:sz w:val="21"/>
              </w:rPr>
              <w:t>≥</w:t>
            </w:r>
            <w:r>
              <w:rPr>
                <w:rFonts w:ascii="仿宋_GB2312" w:hAnsi="仿宋_GB2312" w:cs="仿宋_GB2312" w:eastAsia="仿宋_GB2312"/>
                <w:sz w:val="20"/>
              </w:rPr>
              <w:t>2人同步采集；最大支持升级</w:t>
            </w:r>
            <w:r>
              <w:rPr>
                <w:rFonts w:ascii="仿宋_GB2312" w:hAnsi="仿宋_GB2312" w:cs="仿宋_GB2312" w:eastAsia="仿宋_GB2312"/>
                <w:sz w:val="21"/>
              </w:rPr>
              <w:t>≥</w:t>
            </w:r>
            <w:r>
              <w:rPr>
                <w:rFonts w:ascii="仿宋_GB2312" w:hAnsi="仿宋_GB2312" w:cs="仿宋_GB2312" w:eastAsia="仿宋_GB2312"/>
                <w:sz w:val="21"/>
              </w:rPr>
              <w:t>2000</w:t>
            </w:r>
            <w:r>
              <w:rPr>
                <w:rFonts w:ascii="仿宋_GB2312" w:hAnsi="仿宋_GB2312" w:cs="仿宋_GB2312" w:eastAsia="仿宋_GB2312"/>
                <w:sz w:val="20"/>
              </w:rPr>
              <w:t>高导联脑电，支持</w:t>
            </w:r>
            <w:r>
              <w:rPr>
                <w:rFonts w:ascii="仿宋_GB2312" w:hAnsi="仿宋_GB2312" w:cs="仿宋_GB2312" w:eastAsia="仿宋_GB2312"/>
                <w:sz w:val="20"/>
              </w:rPr>
              <w:t>≥50人团体实验，同步误差</w:t>
            </w:r>
            <w:r>
              <w:rPr>
                <w:rFonts w:ascii="仿宋_GB2312" w:hAnsi="仿宋_GB2312" w:cs="仿宋_GB2312" w:eastAsia="仿宋_GB2312"/>
                <w:sz w:val="21"/>
              </w:rPr>
              <w:t>≤</w:t>
            </w:r>
            <w:r>
              <w:rPr>
                <w:rFonts w:ascii="仿宋_GB2312" w:hAnsi="仿宋_GB2312" w:cs="仿宋_GB2312" w:eastAsia="仿宋_GB2312"/>
                <w:sz w:val="20"/>
              </w:rPr>
              <w:t>500μs；</w:t>
            </w:r>
          </w:p>
          <w:p>
            <w:pPr>
              <w:pStyle w:val="null3"/>
              <w:jc w:val="both"/>
            </w:pPr>
            <w:r>
              <w:rPr>
                <w:rFonts w:ascii="仿宋_GB2312" w:hAnsi="仿宋_GB2312" w:cs="仿宋_GB2312" w:eastAsia="仿宋_GB2312"/>
                <w:sz w:val="20"/>
              </w:rPr>
              <w:t>4.支持同步采集视频脑电；</w:t>
            </w:r>
          </w:p>
          <w:p>
            <w:pPr>
              <w:pStyle w:val="null3"/>
              <w:jc w:val="both"/>
            </w:pPr>
            <w:r>
              <w:rPr>
                <w:rFonts w:ascii="仿宋_GB2312" w:hAnsi="仿宋_GB2312" w:cs="仿宋_GB2312" w:eastAsia="仿宋_GB2312"/>
                <w:sz w:val="20"/>
              </w:rPr>
              <w:t>5.放大器与同步控制主机之间通过双频WIFI连接，可通过USB线设置设备的IP地址；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6.电极采用盐水电极，可实现输出通道在采集位点任意映射，所有采集点位均可复用为输出通道；（提供软件截图）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7.软件支持18种ERP范式，支持数据结果分析；（提供软件截图）</w:t>
            </w:r>
          </w:p>
          <w:p>
            <w:pPr>
              <w:pStyle w:val="null3"/>
              <w:jc w:val="both"/>
            </w:pPr>
            <w:r>
              <w:rPr>
                <w:rFonts w:ascii="仿宋_GB2312" w:hAnsi="仿宋_GB2312" w:cs="仿宋_GB2312" w:eastAsia="仿宋_GB2312"/>
                <w:sz w:val="20"/>
              </w:rPr>
              <w:t>（二）脑电放大器</w:t>
            </w:r>
          </w:p>
          <w:p>
            <w:pPr>
              <w:pStyle w:val="null3"/>
              <w:jc w:val="both"/>
            </w:pPr>
            <w:r>
              <w:rPr>
                <w:rFonts w:ascii="仿宋_GB2312" w:hAnsi="仿宋_GB2312" w:cs="仿宋_GB2312" w:eastAsia="仿宋_GB2312"/>
                <w:sz w:val="20"/>
              </w:rPr>
              <w:t>1.采样率：≥500</w:t>
            </w:r>
            <w:r>
              <w:rPr>
                <w:rFonts w:ascii="仿宋_GB2312" w:hAnsi="仿宋_GB2312" w:cs="仿宋_GB2312" w:eastAsia="仿宋_GB2312"/>
                <w:sz w:val="21"/>
              </w:rPr>
              <w:t>~</w:t>
            </w:r>
            <w:r>
              <w:rPr>
                <w:rFonts w:ascii="仿宋_GB2312" w:hAnsi="仿宋_GB2312" w:cs="仿宋_GB2312" w:eastAsia="仿宋_GB2312"/>
                <w:sz w:val="20"/>
              </w:rPr>
              <w:t>16,000Hz/导；</w:t>
            </w:r>
          </w:p>
          <w:p>
            <w:pPr>
              <w:pStyle w:val="null3"/>
              <w:jc w:val="both"/>
            </w:pPr>
            <w:r>
              <w:rPr>
                <w:rFonts w:ascii="仿宋_GB2312" w:hAnsi="仿宋_GB2312" w:cs="仿宋_GB2312" w:eastAsia="仿宋_GB2312"/>
                <w:sz w:val="20"/>
              </w:rPr>
              <w:t>2.带宽：≥DC～500Hz；</w:t>
            </w:r>
          </w:p>
          <w:p>
            <w:pPr>
              <w:pStyle w:val="null3"/>
              <w:jc w:val="both"/>
            </w:pPr>
            <w:r>
              <w:rPr>
                <w:rFonts w:ascii="仿宋_GB2312" w:hAnsi="仿宋_GB2312" w:cs="仿宋_GB2312" w:eastAsia="仿宋_GB2312"/>
                <w:sz w:val="20"/>
              </w:rPr>
              <w:t>3.A/D 转换分辨率：≥24bit；</w:t>
            </w:r>
          </w:p>
          <w:p>
            <w:pPr>
              <w:pStyle w:val="null3"/>
              <w:jc w:val="both"/>
            </w:pPr>
            <w:r>
              <w:rPr>
                <w:rFonts w:ascii="仿宋_GB2312" w:hAnsi="仿宋_GB2312" w:cs="仿宋_GB2312" w:eastAsia="仿宋_GB2312"/>
                <w:sz w:val="20"/>
              </w:rPr>
              <w:t>4.输入阻抗：≥1GOhms；</w:t>
            </w:r>
          </w:p>
          <w:p>
            <w:pPr>
              <w:pStyle w:val="null3"/>
              <w:jc w:val="both"/>
            </w:pPr>
            <w:r>
              <w:rPr>
                <w:rFonts w:ascii="仿宋_GB2312" w:hAnsi="仿宋_GB2312" w:cs="仿宋_GB2312" w:eastAsia="仿宋_GB2312"/>
                <w:sz w:val="20"/>
              </w:rPr>
              <w:t>5.共模抑制比：≥115dB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6.输入噪声：</w:t>
            </w:r>
            <w:r>
              <w:rPr>
                <w:rFonts w:ascii="仿宋_GB2312" w:hAnsi="仿宋_GB2312" w:cs="仿宋_GB2312" w:eastAsia="仿宋_GB2312"/>
                <w:sz w:val="21"/>
              </w:rPr>
              <w:t>≤</w:t>
            </w:r>
            <w:r>
              <w:rPr>
                <w:rFonts w:ascii="仿宋_GB2312" w:hAnsi="仿宋_GB2312" w:cs="仿宋_GB2312" w:eastAsia="仿宋_GB2312"/>
                <w:sz w:val="20"/>
              </w:rPr>
              <w:t>0.5 μV RMS (0-200 Hz)（</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7.高通滤波：至少包含DC、0.05Hz、0.5Hz三个挡位；</w:t>
            </w:r>
          </w:p>
          <w:p>
            <w:pPr>
              <w:pStyle w:val="null3"/>
              <w:jc w:val="both"/>
            </w:pPr>
            <w:r>
              <w:rPr>
                <w:rFonts w:ascii="仿宋_GB2312" w:hAnsi="仿宋_GB2312" w:cs="仿宋_GB2312" w:eastAsia="仿宋_GB2312"/>
                <w:sz w:val="20"/>
              </w:rPr>
              <w:t>8.低通滤波：至少包含45Hz、75Hz、100Hz三个挡位；</w:t>
            </w:r>
          </w:p>
          <w:p>
            <w:pPr>
              <w:pStyle w:val="null3"/>
              <w:jc w:val="both"/>
            </w:pPr>
            <w:r>
              <w:rPr>
                <w:rFonts w:ascii="仿宋_GB2312" w:hAnsi="仿宋_GB2312" w:cs="仿宋_GB2312" w:eastAsia="仿宋_GB2312"/>
                <w:sz w:val="20"/>
              </w:rPr>
              <w:t>9.灵敏度：</w:t>
            </w:r>
            <w:r>
              <w:rPr>
                <w:rFonts w:ascii="仿宋_GB2312" w:hAnsi="仿宋_GB2312" w:cs="仿宋_GB2312" w:eastAsia="仿宋_GB2312"/>
                <w:sz w:val="21"/>
              </w:rPr>
              <w:t>≤</w:t>
            </w:r>
            <w:r>
              <w:rPr>
                <w:rFonts w:ascii="仿宋_GB2312" w:hAnsi="仿宋_GB2312" w:cs="仿宋_GB2312" w:eastAsia="仿宋_GB2312"/>
                <w:sz w:val="20"/>
              </w:rPr>
              <w:t>0.50nV/bit；</w:t>
            </w:r>
          </w:p>
          <w:p>
            <w:pPr>
              <w:pStyle w:val="null3"/>
              <w:jc w:val="both"/>
            </w:pPr>
            <w:r>
              <w:rPr>
                <w:rFonts w:ascii="仿宋_GB2312" w:hAnsi="仿宋_GB2312" w:cs="仿宋_GB2312" w:eastAsia="仿宋_GB2312"/>
                <w:sz w:val="20"/>
              </w:rPr>
              <w:t>10.输入范围：± 450mV；</w:t>
            </w:r>
          </w:p>
          <w:p>
            <w:pPr>
              <w:pStyle w:val="null3"/>
              <w:jc w:val="both"/>
            </w:pPr>
            <w:r>
              <w:rPr>
                <w:rFonts w:ascii="仿宋_GB2312" w:hAnsi="仿宋_GB2312" w:cs="仿宋_GB2312" w:eastAsia="仿宋_GB2312"/>
                <w:sz w:val="20"/>
              </w:rPr>
              <w:t>11.系统增益：12、24可调；</w:t>
            </w:r>
          </w:p>
          <w:p>
            <w:pPr>
              <w:pStyle w:val="null3"/>
              <w:jc w:val="both"/>
            </w:pPr>
            <w:r>
              <w:rPr>
                <w:rFonts w:ascii="仿宋_GB2312" w:hAnsi="仿宋_GB2312" w:cs="仿宋_GB2312" w:eastAsia="仿宋_GB2312"/>
                <w:sz w:val="20"/>
              </w:rPr>
              <w:t xml:space="preserve">12.High Level 输入范围: ±5V 或 ±12V；  </w:t>
            </w:r>
          </w:p>
          <w:p>
            <w:pPr>
              <w:pStyle w:val="null3"/>
              <w:jc w:val="both"/>
            </w:pPr>
            <w:r>
              <w:rPr>
                <w:rFonts w:ascii="仿宋_GB2312" w:hAnsi="仿宋_GB2312" w:cs="仿宋_GB2312" w:eastAsia="仿宋_GB2312"/>
                <w:sz w:val="20"/>
              </w:rPr>
              <w:t xml:space="preserve">13.输入阻抗显示：1 kΩ </w:t>
            </w: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50 kΩ，阻抗测量误差</w:t>
            </w:r>
            <w:r>
              <w:rPr>
                <w:rFonts w:ascii="仿宋_GB2312" w:hAnsi="仿宋_GB2312" w:cs="仿宋_GB2312" w:eastAsia="仿宋_GB2312"/>
                <w:sz w:val="21"/>
              </w:rPr>
              <w:t>≤</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14.放大器具有单人与两人两种采集方式；</w:t>
            </w:r>
          </w:p>
          <w:p>
            <w:pPr>
              <w:pStyle w:val="null3"/>
              <w:jc w:val="left"/>
            </w:pPr>
            <w:r>
              <w:rPr>
                <w:rFonts w:ascii="仿宋_GB2312" w:hAnsi="仿宋_GB2312" w:cs="仿宋_GB2312" w:eastAsia="仿宋_GB2312"/>
                <w:sz w:val="20"/>
              </w:rPr>
              <w:t>15.数据传输</w:t>
            </w:r>
            <w:r>
              <w:rPr>
                <w:rFonts w:ascii="仿宋_GB2312" w:hAnsi="仿宋_GB2312" w:cs="仿宋_GB2312" w:eastAsia="仿宋_GB2312"/>
                <w:sz w:val="20"/>
              </w:rPr>
              <w:t>：支持电脑与放大器、电脑与同步盒间传输数据；</w:t>
            </w:r>
          </w:p>
          <w:p>
            <w:pPr>
              <w:pStyle w:val="null3"/>
              <w:jc w:val="both"/>
            </w:pPr>
            <w:r>
              <w:rPr>
                <w:rFonts w:ascii="仿宋_GB2312" w:hAnsi="仿宋_GB2312" w:cs="仿宋_GB2312" w:eastAsia="仿宋_GB2312"/>
                <w:sz w:val="20"/>
              </w:rPr>
              <w:t>16.主机支持USB接口方式修改内部IP地址、网关地址以及子网掩码等；</w:t>
            </w:r>
          </w:p>
          <w:p>
            <w:pPr>
              <w:pStyle w:val="null3"/>
              <w:jc w:val="both"/>
            </w:pPr>
            <w:r>
              <w:rPr>
                <w:rFonts w:ascii="仿宋_GB2312" w:hAnsi="仿宋_GB2312" w:cs="仿宋_GB2312" w:eastAsia="仿宋_GB2312"/>
                <w:sz w:val="20"/>
              </w:rPr>
              <w:t>（三）、便携式记录和事件校准单元</w:t>
            </w:r>
          </w:p>
          <w:p>
            <w:pPr>
              <w:pStyle w:val="null3"/>
              <w:jc w:val="both"/>
            </w:pPr>
            <w:r>
              <w:rPr>
                <w:rFonts w:ascii="仿宋_GB2312" w:hAnsi="仿宋_GB2312" w:cs="仿宋_GB2312" w:eastAsia="仿宋_GB2312"/>
                <w:sz w:val="20"/>
              </w:rPr>
              <w:t>1.支持人机环境同步测试平台事件标记与数据同步接口，支持视觉刺激和听觉刺激的时间校准，校准后误差</w:t>
            </w:r>
            <w:r>
              <w:rPr>
                <w:rFonts w:ascii="仿宋_GB2312" w:hAnsi="仿宋_GB2312" w:cs="仿宋_GB2312" w:eastAsia="仿宋_GB2312"/>
                <w:sz w:val="21"/>
              </w:rPr>
              <w:t>≤</w:t>
            </w:r>
            <w:r>
              <w:rPr>
                <w:rFonts w:ascii="仿宋_GB2312" w:hAnsi="仿宋_GB2312" w:cs="仿宋_GB2312" w:eastAsia="仿宋_GB2312"/>
                <w:sz w:val="20"/>
              </w:rPr>
              <w:t>500μs。</w:t>
            </w:r>
          </w:p>
          <w:p>
            <w:pPr>
              <w:pStyle w:val="null3"/>
              <w:jc w:val="both"/>
            </w:pPr>
            <w:r>
              <w:rPr>
                <w:rFonts w:ascii="仿宋_GB2312" w:hAnsi="仿宋_GB2312" w:cs="仿宋_GB2312" w:eastAsia="仿宋_GB2312"/>
                <w:sz w:val="20"/>
              </w:rPr>
              <w:t>2.支持眼动数据事件标记与数据同步接口；支持脑电数据事件标记与数据同步接口；支持生理数据事件标记与数据同步接口。</w:t>
            </w:r>
          </w:p>
          <w:p>
            <w:pPr>
              <w:pStyle w:val="null3"/>
              <w:jc w:val="both"/>
            </w:pPr>
            <w:r>
              <w:rPr>
                <w:rFonts w:ascii="仿宋_GB2312" w:hAnsi="仿宋_GB2312" w:cs="仿宋_GB2312" w:eastAsia="仿宋_GB2312"/>
                <w:sz w:val="20"/>
              </w:rPr>
              <w:t>3.第三方API数据同步接口：支持二次开发接口。</w:t>
            </w:r>
          </w:p>
          <w:p>
            <w:pPr>
              <w:pStyle w:val="null3"/>
              <w:jc w:val="both"/>
            </w:pPr>
            <w:r>
              <w:rPr>
                <w:rFonts w:ascii="仿宋_GB2312" w:hAnsi="仿宋_GB2312" w:cs="仿宋_GB2312" w:eastAsia="仿宋_GB2312"/>
                <w:sz w:val="20"/>
              </w:rPr>
              <w:t>4.数据传速率：≥40Mbps。</w:t>
            </w:r>
          </w:p>
          <w:p>
            <w:pPr>
              <w:pStyle w:val="null3"/>
              <w:jc w:val="both"/>
            </w:pPr>
            <w:r>
              <w:rPr>
                <w:rFonts w:ascii="仿宋_GB2312" w:hAnsi="仿宋_GB2312" w:cs="仿宋_GB2312" w:eastAsia="仿宋_GB2312"/>
                <w:sz w:val="20"/>
              </w:rPr>
              <w:t>5.输入接口事件标记分辨率：≥16bit。</w:t>
            </w:r>
          </w:p>
          <w:p>
            <w:pPr>
              <w:pStyle w:val="null3"/>
              <w:jc w:val="both"/>
            </w:pPr>
            <w:r>
              <w:rPr>
                <w:rFonts w:ascii="仿宋_GB2312" w:hAnsi="仿宋_GB2312" w:cs="仿宋_GB2312" w:eastAsia="仿宋_GB2312"/>
                <w:sz w:val="20"/>
              </w:rPr>
              <w:t>▲6.支持多窗口光学强度监测和颜色监测（</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7.数字输入通道≥8;数字输出通道≥8；</w:t>
            </w:r>
          </w:p>
          <w:p>
            <w:pPr>
              <w:pStyle w:val="null3"/>
            </w:pPr>
            <w:r>
              <w:rPr>
                <w:rFonts w:ascii="仿宋_GB2312" w:hAnsi="仿宋_GB2312" w:cs="仿宋_GB2312" w:eastAsia="仿宋_GB2312"/>
                <w:sz w:val="20"/>
              </w:rPr>
              <w:t>8.支持声学强度识别监测，音频接口≥2。</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高精度眼动追踪系统</w:t>
            </w:r>
            <w:r>
              <w:rPr>
                <w:rFonts w:ascii="仿宋_GB2312" w:hAnsi="仿宋_GB2312" w:cs="仿宋_GB2312" w:eastAsia="仿宋_GB2312"/>
                <w:sz w:val="21"/>
                <w:b/>
              </w:rPr>
              <w:t xml:space="preserve">   </w:t>
            </w:r>
            <w:r>
              <w:rPr>
                <w:rFonts w:ascii="仿宋_GB2312" w:hAnsi="仿宋_GB2312" w:cs="仿宋_GB2312" w:eastAsia="仿宋_GB2312"/>
                <w:sz w:val="22"/>
                <w:b/>
              </w:rPr>
              <w:t xml:space="preserve"> </w:t>
            </w:r>
            <w:r>
              <w:rPr>
                <w:rFonts w:ascii="仿宋_GB2312" w:hAnsi="仿宋_GB2312" w:cs="仿宋_GB2312" w:eastAsia="仿宋_GB2312"/>
                <w:sz w:val="22"/>
                <w:b/>
              </w:rPr>
              <w:t xml:space="preserve">1套   </w:t>
            </w:r>
          </w:p>
          <w:p>
            <w:pPr>
              <w:pStyle w:val="null3"/>
              <w:jc w:val="both"/>
            </w:pPr>
            <w:r>
              <w:rPr>
                <w:rFonts w:ascii="仿宋_GB2312" w:hAnsi="仿宋_GB2312" w:cs="仿宋_GB2312" w:eastAsia="仿宋_GB2312"/>
                <w:sz w:val="20"/>
              </w:rPr>
              <w:t>一、硬件参数：</w:t>
            </w:r>
          </w:p>
          <w:p>
            <w:pPr>
              <w:pStyle w:val="null3"/>
              <w:jc w:val="both"/>
            </w:pPr>
            <w:r>
              <w:rPr>
                <w:rFonts w:ascii="仿宋_GB2312" w:hAnsi="仿宋_GB2312" w:cs="仿宋_GB2312" w:eastAsia="仿宋_GB2312"/>
                <w:sz w:val="20"/>
              </w:rPr>
              <w:t>1.产品形态：桌面式眼动仪与显示器一体化安装，也可以拆卸显示屏，眼动仪单独使用，或眼动仪另外搭配显示屏；支持屏幕尺寸：≤23.8英寸</w:t>
            </w:r>
            <w:r>
              <w:rPr>
                <w:rFonts w:ascii="仿宋_GB2312" w:hAnsi="仿宋_GB2312" w:cs="仿宋_GB2312" w:eastAsia="仿宋_GB2312"/>
                <w:sz w:val="20"/>
              </w:rPr>
              <w:t>；</w:t>
            </w:r>
            <w:r>
              <w:rPr>
                <w:rFonts w:ascii="仿宋_GB2312" w:hAnsi="仿宋_GB2312" w:cs="仿宋_GB2312" w:eastAsia="仿宋_GB2312"/>
                <w:sz w:val="20"/>
              </w:rPr>
              <w:t>支持国产操作系统。</w:t>
            </w:r>
          </w:p>
          <w:p>
            <w:pPr>
              <w:pStyle w:val="null3"/>
              <w:jc w:val="both"/>
            </w:pPr>
            <w:r>
              <w:rPr>
                <w:rFonts w:ascii="仿宋_GB2312" w:hAnsi="仿宋_GB2312" w:cs="仿宋_GB2312" w:eastAsia="仿宋_GB2312"/>
                <w:sz w:val="20"/>
              </w:rPr>
              <w:t>★2.采样率：≥1500Hz，支持降采样到1000/500/250Hz；</w:t>
            </w:r>
            <w:r>
              <w:rPr>
                <w:rFonts w:ascii="仿宋_GB2312" w:hAnsi="仿宋_GB2312" w:cs="仿宋_GB2312" w:eastAsia="仿宋_GB2312"/>
                <w:sz w:val="20"/>
              </w:rPr>
              <w:t>（提供软件截图）</w:t>
            </w:r>
          </w:p>
          <w:p>
            <w:pPr>
              <w:pStyle w:val="null3"/>
              <w:jc w:val="both"/>
            </w:pPr>
            <w:r>
              <w:rPr>
                <w:rFonts w:ascii="仿宋_GB2312" w:hAnsi="仿宋_GB2312" w:cs="仿宋_GB2312" w:eastAsia="仿宋_GB2312"/>
                <w:sz w:val="20"/>
              </w:rPr>
              <w:t>3.追踪技术：瞳孔角膜反射法；追踪方式：双眼追踪，支持单眼或双眼使用。</w:t>
            </w:r>
          </w:p>
          <w:p>
            <w:pPr>
              <w:pStyle w:val="null3"/>
              <w:jc w:val="both"/>
            </w:pPr>
            <w:r>
              <w:rPr>
                <w:rFonts w:ascii="仿宋_GB2312" w:hAnsi="仿宋_GB2312" w:cs="仿宋_GB2312" w:eastAsia="仿宋_GB2312"/>
                <w:sz w:val="20"/>
              </w:rPr>
              <w:t>4.精准度：准度：≤0.3°；精度：≤0.01°。</w:t>
            </w:r>
          </w:p>
          <w:p>
            <w:pPr>
              <w:pStyle w:val="null3"/>
              <w:jc w:val="both"/>
            </w:pPr>
            <w:r>
              <w:rPr>
                <w:rFonts w:ascii="仿宋_GB2312" w:hAnsi="仿宋_GB2312" w:cs="仿宋_GB2312" w:eastAsia="仿宋_GB2312"/>
                <w:sz w:val="20"/>
              </w:rPr>
              <w:t>5.使用范围：不小于50-85cm；头动范围：</w:t>
            </w:r>
            <w:r>
              <w:rPr>
                <w:rFonts w:ascii="仿宋_GB2312" w:hAnsi="仿宋_GB2312" w:cs="仿宋_GB2312" w:eastAsia="仿宋_GB2312"/>
                <w:sz w:val="21"/>
              </w:rPr>
              <w:t>≥</w:t>
            </w:r>
            <w:r>
              <w:rPr>
                <w:rFonts w:ascii="仿宋_GB2312" w:hAnsi="仿宋_GB2312" w:cs="仿宋_GB2312" w:eastAsia="仿宋_GB2312"/>
                <w:sz w:val="20"/>
              </w:rPr>
              <w:t>40*32@65cm；</w:t>
            </w:r>
            <w:r>
              <w:rPr>
                <w:rFonts w:ascii="仿宋_GB2312" w:hAnsi="仿宋_GB2312" w:cs="仿宋_GB2312" w:eastAsia="仿宋_GB2312"/>
                <w:sz w:val="21"/>
              </w:rPr>
              <w:t>≥</w:t>
            </w:r>
            <w:r>
              <w:rPr>
                <w:rFonts w:ascii="仿宋_GB2312" w:hAnsi="仿宋_GB2312" w:cs="仿宋_GB2312" w:eastAsia="仿宋_GB2312"/>
                <w:sz w:val="20"/>
              </w:rPr>
              <w:t>45*32@75cm；支持超大范围头部运动，个体自然状态下记录眼动数据。</w:t>
            </w:r>
          </w:p>
          <w:p>
            <w:pPr>
              <w:pStyle w:val="null3"/>
              <w:jc w:val="both"/>
            </w:pPr>
            <w:r>
              <w:rPr>
                <w:rFonts w:ascii="仿宋_GB2312" w:hAnsi="仿宋_GB2312" w:cs="仿宋_GB2312" w:eastAsia="仿宋_GB2312"/>
                <w:sz w:val="20"/>
              </w:rPr>
              <w:t>▲6.数据输出：左右眼3D视线坐标、聚合注视点、眼跳、瞳孔直径、眨眼信息、眼皮开合度百分数、数据有效性、事件记录；</w:t>
            </w:r>
            <w:r>
              <w:rPr>
                <w:rFonts w:ascii="仿宋_GB2312" w:hAnsi="仿宋_GB2312" w:cs="仿宋_GB2312" w:eastAsia="仿宋_GB2312"/>
                <w:sz w:val="20"/>
              </w:rPr>
              <w:t>（</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二、软件参数：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与整机同品牌</w:t>
            </w:r>
            <w:r>
              <w:rPr>
                <w:rFonts w:ascii="仿宋_GB2312" w:hAnsi="仿宋_GB2312" w:cs="仿宋_GB2312" w:eastAsia="仿宋_GB2312"/>
                <w:sz w:val="20"/>
              </w:rPr>
              <w:t>数据处理软件，应具有自主知识产权。（需提供软件著作权登记证书）</w:t>
            </w:r>
          </w:p>
          <w:p>
            <w:pPr>
              <w:pStyle w:val="null3"/>
              <w:jc w:val="both"/>
            </w:pPr>
            <w:r>
              <w:rPr>
                <w:rFonts w:ascii="仿宋_GB2312" w:hAnsi="仿宋_GB2312" w:cs="仿宋_GB2312" w:eastAsia="仿宋_GB2312"/>
                <w:sz w:val="20"/>
              </w:rPr>
              <w:t>▲2.数据软件集实验设计、数据采集和数据分析功能；软件界面支持中英日文界面切换、个性化设置。（需提供软件截图）</w:t>
            </w:r>
          </w:p>
          <w:p>
            <w:pPr>
              <w:pStyle w:val="null3"/>
              <w:jc w:val="both"/>
            </w:pPr>
            <w:r>
              <w:rPr>
                <w:rFonts w:ascii="仿宋_GB2312" w:hAnsi="仿宋_GB2312" w:cs="仿宋_GB2312" w:eastAsia="仿宋_GB2312"/>
                <w:sz w:val="20"/>
              </w:rPr>
              <w:t>▲3.支持快捷实验设计，可批量添加图片、视频材料（包括.bmp/.jpg/.png/.jpeg/.avi/.mp4/.mkv/.mp2/.mp3/.wav等格式）；支持屏幕录制，及真实景物平面或场景；支持顺序呈现、随机不重复、随机可重复方法，可以设置随机取样与重复次数；可添加Combo组合刺激，支持同一画布添加图像与文字材料。材料切换方式含固定时长、按键、鼠标点击、API事件（眼控、语音等）四种。（需提供软件截图）</w:t>
            </w:r>
          </w:p>
          <w:p>
            <w:pPr>
              <w:pStyle w:val="null3"/>
              <w:jc w:val="both"/>
            </w:pPr>
            <w:r>
              <w:rPr>
                <w:rFonts w:ascii="仿宋_GB2312" w:hAnsi="仿宋_GB2312" w:cs="仿宋_GB2312" w:eastAsia="仿宋_GB2312"/>
                <w:sz w:val="20"/>
              </w:rPr>
              <w:t>4.3点</w:t>
            </w:r>
            <w:r>
              <w:rPr>
                <w:rFonts w:ascii="仿宋_GB2312" w:hAnsi="仿宋_GB2312" w:cs="仿宋_GB2312" w:eastAsia="仿宋_GB2312"/>
                <w:sz w:val="20"/>
              </w:rPr>
              <w:t>/</w:t>
            </w:r>
            <w:r>
              <w:rPr>
                <w:rFonts w:ascii="仿宋_GB2312" w:hAnsi="仿宋_GB2312" w:cs="仿宋_GB2312" w:eastAsia="仿宋_GB2312"/>
                <w:sz w:val="20"/>
              </w:rPr>
              <w:t>5点</w:t>
            </w:r>
            <w:r>
              <w:rPr>
                <w:rFonts w:ascii="仿宋_GB2312" w:hAnsi="仿宋_GB2312" w:cs="仿宋_GB2312" w:eastAsia="仿宋_GB2312"/>
                <w:sz w:val="20"/>
              </w:rPr>
              <w:t>/</w:t>
            </w:r>
            <w:r>
              <w:rPr>
                <w:rFonts w:ascii="仿宋_GB2312" w:hAnsi="仿宋_GB2312" w:cs="仿宋_GB2312" w:eastAsia="仿宋_GB2312"/>
                <w:sz w:val="20"/>
              </w:rPr>
              <w:t>9点校准</w:t>
            </w:r>
            <w:r>
              <w:rPr>
                <w:rFonts w:ascii="仿宋_GB2312" w:hAnsi="仿宋_GB2312" w:cs="仿宋_GB2312" w:eastAsia="仿宋_GB2312"/>
                <w:sz w:val="20"/>
              </w:rPr>
              <w:t>，</w:t>
            </w:r>
            <w:r>
              <w:rPr>
                <w:rFonts w:ascii="仿宋_GB2312" w:hAnsi="仿宋_GB2312" w:cs="仿宋_GB2312" w:eastAsia="仿宋_GB2312"/>
                <w:sz w:val="20"/>
              </w:rPr>
              <w:t>可选，包含标准小球校准和其他三种校准动画可选，含婴儿校准，用图示与得分的方式反馈校准质量。</w:t>
            </w:r>
          </w:p>
          <w:p>
            <w:pPr>
              <w:pStyle w:val="null3"/>
              <w:jc w:val="both"/>
            </w:pPr>
            <w:r>
              <w:rPr>
                <w:rFonts w:ascii="仿宋_GB2312" w:hAnsi="仿宋_GB2312" w:cs="仿宋_GB2312" w:eastAsia="仿宋_GB2312"/>
                <w:sz w:val="20"/>
              </w:rPr>
              <w:t>5.支持分屏观察，主试屏实时监控被试屏上的操作并叠加眼动信息。</w:t>
            </w:r>
          </w:p>
          <w:p>
            <w:pPr>
              <w:pStyle w:val="null3"/>
              <w:jc w:val="both"/>
            </w:pPr>
            <w:r>
              <w:rPr>
                <w:rFonts w:ascii="仿宋_GB2312" w:hAnsi="仿宋_GB2312" w:cs="仿宋_GB2312" w:eastAsia="仿宋_GB2312"/>
                <w:sz w:val="20"/>
              </w:rPr>
              <w:t>6.眼动数据处理：基于I-VT算法提取注视点及眼跳状态，可自定义设置参数，包括角速度阈值、忽略最短注视时长、插值、降噪、基点选择、过滤器、注视点合并等。</w:t>
            </w:r>
          </w:p>
          <w:p>
            <w:pPr>
              <w:pStyle w:val="null3"/>
              <w:jc w:val="both"/>
            </w:pPr>
            <w:r>
              <w:rPr>
                <w:rFonts w:ascii="仿宋_GB2312" w:hAnsi="仿宋_GB2312" w:cs="仿宋_GB2312" w:eastAsia="仿宋_GB2312"/>
                <w:sz w:val="20"/>
              </w:rPr>
              <w:t>7.记录管理支持对记录数据进行事后处理；支持离线校准/分段离线校准；支持对记录数据添加事件标签；支持对记录数据事后重新进行计算眨眼和注视点聚合数据。</w:t>
            </w:r>
          </w:p>
          <w:p>
            <w:pPr>
              <w:pStyle w:val="null3"/>
              <w:jc w:val="both"/>
            </w:pPr>
            <w:r>
              <w:rPr>
                <w:rFonts w:ascii="仿宋_GB2312" w:hAnsi="仿宋_GB2312" w:cs="仿宋_GB2312" w:eastAsia="仿宋_GB2312"/>
                <w:sz w:val="20"/>
              </w:rPr>
              <w:t>8.可视化结果包含过程回放、眼动数据图表、轨迹图、热图、蜂窝图、AOI时序图、透视图，直观展现眼动模式。支持以png格式导出，可自定义半径、风格、透明度等可视化参数。</w:t>
            </w:r>
          </w:p>
          <w:p>
            <w:pPr>
              <w:pStyle w:val="null3"/>
              <w:jc w:val="both"/>
            </w:pPr>
            <w:r>
              <w:rPr>
                <w:rFonts w:ascii="仿宋_GB2312" w:hAnsi="仿宋_GB2312" w:cs="仿宋_GB2312" w:eastAsia="仿宋_GB2312"/>
                <w:sz w:val="20"/>
              </w:rPr>
              <w:t>9.注视热图可根据之前设置的被试变量进行分组的注视热度叠加。注视热图的表现形式应分为彩度热图与透视热图两种；在热度的累加方式上应有绝对时长、相对时长、绝对次数、相对次数四种方式可选；热图中将分组中所有人的注视时长进行统计，整体计算热度分布并呈现。</w:t>
            </w:r>
          </w:p>
          <w:p>
            <w:pPr>
              <w:pStyle w:val="null3"/>
              <w:jc w:val="both"/>
            </w:pPr>
            <w:r>
              <w:rPr>
                <w:rFonts w:ascii="仿宋_GB2312" w:hAnsi="仿宋_GB2312" w:cs="仿宋_GB2312" w:eastAsia="仿宋_GB2312"/>
                <w:sz w:val="20"/>
              </w:rPr>
              <w:t>10.支持实验前基于刺激材料指定AOI，含圆形、方形、多边形三种圈定方式；可为AOI命名；可实时显示AOI缩放和位移的数值，也可自定义输入宽、高、位置等参数数值，自动调整Draw AOI大小；可通过自动识别网页原型的组件ID，直接用鼠标点击选定作为AOI，无需手动绘制；支持AOI矩阵与模板功能；具备动态AOI功能。</w:t>
            </w:r>
          </w:p>
          <w:p>
            <w:pPr>
              <w:pStyle w:val="null3"/>
              <w:jc w:val="both"/>
            </w:pPr>
            <w:r>
              <w:rPr>
                <w:rFonts w:ascii="仿宋_GB2312" w:hAnsi="仿宋_GB2312" w:cs="仿宋_GB2312" w:eastAsia="仿宋_GB2312"/>
                <w:sz w:val="20"/>
              </w:rPr>
              <w:t>11.映射描点支持可将视频、3D虚拟现实、实时摄像中的注视点自动或者手动叠加到一个感兴趣的平面图中。</w:t>
            </w:r>
          </w:p>
          <w:p>
            <w:pPr>
              <w:pStyle w:val="null3"/>
              <w:jc w:val="both"/>
            </w:pPr>
            <w:r>
              <w:rPr>
                <w:rFonts w:ascii="仿宋_GB2312" w:hAnsi="仿宋_GB2312" w:cs="仿宋_GB2312" w:eastAsia="仿宋_GB2312"/>
                <w:sz w:val="20"/>
              </w:rPr>
              <w:t>12.可将≥25种经典的统计指标按AOI以表格形式表示（指标可定制）和导出。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13.提供SDK开发包与开发者文档，支持二次开发；支持眼动分析指标定制；支持功能需求的定制化。</w:t>
            </w:r>
            <w:r>
              <w:rPr>
                <w:rFonts w:ascii="仿宋_GB2312" w:hAnsi="仿宋_GB2312" w:cs="仿宋_GB2312" w:eastAsia="仿宋_GB2312"/>
                <w:sz w:val="20"/>
              </w:rPr>
              <w:t>（提供</w:t>
            </w:r>
            <w:r>
              <w:rPr>
                <w:rFonts w:ascii="仿宋_GB2312" w:hAnsi="仿宋_GB2312" w:cs="仿宋_GB2312" w:eastAsia="仿宋_GB2312"/>
                <w:sz w:val="20"/>
              </w:rPr>
              <w:t>SDK开发者文档，以及C#、MFC、Python、Qt多语言Demo示例工程源码截图/工程目录）</w:t>
            </w:r>
          </w:p>
          <w:p>
            <w:pPr>
              <w:pStyle w:val="null3"/>
              <w:jc w:val="both"/>
            </w:pPr>
            <w:r>
              <w:rPr>
                <w:rFonts w:ascii="仿宋_GB2312" w:hAnsi="仿宋_GB2312" w:cs="仿宋_GB2312" w:eastAsia="仿宋_GB2312"/>
                <w:sz w:val="20"/>
              </w:rPr>
              <w:t>14.数据支持：导出数据格式csv、xlsx可选，均可用一般文本编辑器与excel打开，提供毫秒级时间戳、注视点、瞳孔中心位置、瞳孔直径、眨眼数据等20项数据信息。</w:t>
            </w:r>
          </w:p>
          <w:p>
            <w:pPr>
              <w:pStyle w:val="null3"/>
              <w:jc w:val="both"/>
            </w:pPr>
            <w:r>
              <w:rPr>
                <w:rFonts w:ascii="仿宋_GB2312" w:hAnsi="仿宋_GB2312" w:cs="仿宋_GB2312" w:eastAsia="仿宋_GB2312"/>
                <w:sz w:val="20"/>
              </w:rPr>
              <w:t>15.支持转发数据，通过网络端口向外部转发注视点追踪数据，可以选择是否传输包含AOI击中的数据；支持多种数据同步方式，支持Lab Streaming Layer（LSL）通信。外部程序通过TTL、串口通信或UDP通信可以接收来自分析软件的trigger或向分析软件发送 trigger，完成实验数据标记。</w:t>
            </w:r>
          </w:p>
          <w:p>
            <w:pPr>
              <w:pStyle w:val="null3"/>
            </w:pPr>
            <w:r>
              <w:rPr>
                <w:rFonts w:ascii="仿宋_GB2312" w:hAnsi="仿宋_GB2312" w:cs="仿宋_GB2312" w:eastAsia="仿宋_GB2312"/>
                <w:sz w:val="20"/>
              </w:rPr>
              <w:t>16.支持</w:t>
            </w:r>
            <w:r>
              <w:rPr>
                <w:rFonts w:ascii="仿宋_GB2312" w:hAnsi="仿宋_GB2312" w:cs="仿宋_GB2312" w:eastAsia="仿宋_GB2312"/>
                <w:sz w:val="20"/>
              </w:rPr>
              <w:t>≥2人</w:t>
            </w:r>
            <w:r>
              <w:rPr>
                <w:rFonts w:ascii="仿宋_GB2312" w:hAnsi="仿宋_GB2312" w:cs="仿宋_GB2312" w:eastAsia="仿宋_GB2312"/>
                <w:sz w:val="20"/>
              </w:rPr>
              <w:t>同步采集，可实现由</w:t>
            </w:r>
            <w:r>
              <w:rPr>
                <w:rFonts w:ascii="仿宋_GB2312" w:hAnsi="仿宋_GB2312" w:cs="仿宋_GB2312" w:eastAsia="仿宋_GB2312"/>
                <w:sz w:val="20"/>
              </w:rPr>
              <w:t>1台主机控制多台眼动仪同步开始数据采集，进行</w:t>
            </w:r>
            <w:r>
              <w:rPr>
                <w:rFonts w:ascii="仿宋_GB2312" w:hAnsi="仿宋_GB2312" w:cs="仿宋_GB2312" w:eastAsia="仿宋_GB2312"/>
                <w:sz w:val="20"/>
              </w:rPr>
              <w:t>≥2人</w:t>
            </w:r>
            <w:r>
              <w:rPr>
                <w:rFonts w:ascii="仿宋_GB2312" w:hAnsi="仿宋_GB2312" w:cs="仿宋_GB2312" w:eastAsia="仿宋_GB2312"/>
                <w:sz w:val="20"/>
              </w:rPr>
              <w:t>联动眼动实验。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便携式近红外脑功能成像装置</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1套   </w:t>
            </w:r>
          </w:p>
          <w:p>
            <w:pPr>
              <w:pStyle w:val="null3"/>
              <w:jc w:val="both"/>
            </w:pPr>
            <w:r>
              <w:rPr>
                <w:rFonts w:ascii="仿宋_GB2312" w:hAnsi="仿宋_GB2312" w:cs="仿宋_GB2312" w:eastAsia="仿宋_GB2312"/>
                <w:sz w:val="20"/>
              </w:rPr>
              <w:t>1.主机：实时检测脑血红蛋白（氧化HbO、还原HbR、总HbT）浓度变化信息；</w:t>
            </w:r>
          </w:p>
          <w:p>
            <w:pPr>
              <w:pStyle w:val="null3"/>
              <w:jc w:val="both"/>
            </w:pPr>
            <w:r>
              <w:rPr>
                <w:rFonts w:ascii="仿宋_GB2312" w:hAnsi="仿宋_GB2312" w:cs="仿宋_GB2312" w:eastAsia="仿宋_GB2312"/>
                <w:sz w:val="20"/>
              </w:rPr>
              <w:t>2.最大输出设定下噪声≤35dB；</w:t>
            </w:r>
          </w:p>
          <w:p>
            <w:pPr>
              <w:pStyle w:val="null3"/>
              <w:jc w:val="both"/>
            </w:pPr>
            <w:r>
              <w:rPr>
                <w:rFonts w:ascii="仿宋_GB2312" w:hAnsi="仿宋_GB2312" w:cs="仿宋_GB2312" w:eastAsia="仿宋_GB2312"/>
                <w:sz w:val="20"/>
              </w:rPr>
              <w:t>3.★探头及通道：单主机，非级联。提供≥16发射探头，≥16接收探头，≥56有效探测通道（非断层）；探测器采用雪崩二极管APD，非其他类光电二极管；内置在金属主机内、非外置，通过光纤与人体连接；</w:t>
            </w:r>
            <w:r>
              <w:rPr>
                <w:rFonts w:ascii="仿宋_GB2312" w:hAnsi="仿宋_GB2312" w:cs="仿宋_GB2312" w:eastAsia="仿宋_GB2312"/>
                <w:sz w:val="20"/>
              </w:rPr>
              <w:t>（提供产品彩页或技术白皮书）</w:t>
            </w:r>
          </w:p>
          <w:p>
            <w:pPr>
              <w:pStyle w:val="null3"/>
              <w:jc w:val="both"/>
            </w:pPr>
            <w:r>
              <w:rPr>
                <w:rFonts w:ascii="仿宋_GB2312" w:hAnsi="仿宋_GB2312" w:cs="仿宋_GB2312" w:eastAsia="仿宋_GB2312"/>
                <w:sz w:val="20"/>
              </w:rPr>
              <w:t>4.暗电流典型值</w:t>
            </w:r>
            <w:r>
              <w:rPr>
                <w:rFonts w:ascii="仿宋_GB2312" w:hAnsi="仿宋_GB2312" w:cs="仿宋_GB2312" w:eastAsia="仿宋_GB2312"/>
                <w:sz w:val="20"/>
              </w:rPr>
              <w:t>≤</w:t>
            </w:r>
            <w:r>
              <w:rPr>
                <w:rFonts w:ascii="仿宋_GB2312" w:hAnsi="仿宋_GB2312" w:cs="仿宋_GB2312" w:eastAsia="仿宋_GB2312"/>
                <w:sz w:val="20"/>
              </w:rPr>
              <w:t>1nA，最大值</w:t>
            </w:r>
            <w:r>
              <w:rPr>
                <w:rFonts w:ascii="仿宋_GB2312" w:hAnsi="仿宋_GB2312" w:cs="仿宋_GB2312" w:eastAsia="仿宋_GB2312"/>
                <w:sz w:val="20"/>
              </w:rPr>
              <w:t>≤</w:t>
            </w:r>
            <w:r>
              <w:rPr>
                <w:rFonts w:ascii="仿宋_GB2312" w:hAnsi="仿宋_GB2312" w:cs="仿宋_GB2312" w:eastAsia="仿宋_GB2312"/>
                <w:sz w:val="20"/>
              </w:rPr>
              <w:t>110nA；</w:t>
            </w:r>
          </w:p>
          <w:p>
            <w:pPr>
              <w:pStyle w:val="null3"/>
              <w:jc w:val="both"/>
            </w:pPr>
            <w:r>
              <w:rPr>
                <w:rFonts w:ascii="仿宋_GB2312" w:hAnsi="仿宋_GB2312" w:cs="仿宋_GB2312" w:eastAsia="仿宋_GB2312"/>
                <w:sz w:val="20"/>
              </w:rPr>
              <w:t>5.光敏感度：≥6×106V/W；</w:t>
            </w:r>
          </w:p>
          <w:p>
            <w:pPr>
              <w:pStyle w:val="null3"/>
              <w:jc w:val="both"/>
            </w:pPr>
            <w:r>
              <w:rPr>
                <w:rFonts w:ascii="仿宋_GB2312" w:hAnsi="仿宋_GB2312" w:cs="仿宋_GB2312" w:eastAsia="仿宋_GB2312"/>
                <w:sz w:val="20"/>
              </w:rPr>
              <w:t>6.▲采用安全LED光源，支持分时采集，提供</w:t>
            </w:r>
            <w:r>
              <w:rPr>
                <w:rFonts w:ascii="仿宋_GB2312" w:hAnsi="仿宋_GB2312" w:cs="仿宋_GB2312" w:eastAsia="仿宋_GB2312"/>
                <w:sz w:val="21"/>
              </w:rPr>
              <w:t>≥</w:t>
            </w:r>
            <w:r>
              <w:rPr>
                <w:rFonts w:ascii="仿宋_GB2312" w:hAnsi="仿宋_GB2312" w:cs="仿宋_GB2312" w:eastAsia="仿宋_GB2312"/>
                <w:sz w:val="20"/>
              </w:rPr>
              <w:t>730nm波长，具备高信噪比、高准确度的检测性能；</w:t>
            </w:r>
            <w:r>
              <w:rPr>
                <w:rFonts w:ascii="仿宋_GB2312" w:hAnsi="仿宋_GB2312" w:cs="仿宋_GB2312" w:eastAsia="仿宋_GB2312"/>
                <w:sz w:val="20"/>
              </w:rPr>
              <w:t>（</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7.★最长波长≥835nm，最长波与最短波之间的波长间隔≥120nm；</w:t>
            </w:r>
            <w:r>
              <w:rPr>
                <w:rFonts w:ascii="仿宋_GB2312" w:hAnsi="仿宋_GB2312" w:cs="仿宋_GB2312" w:eastAsia="仿宋_GB2312"/>
                <w:sz w:val="20"/>
              </w:rPr>
              <w:t>（提供产品彩页或技术白皮书）</w:t>
            </w:r>
          </w:p>
          <w:p>
            <w:pPr>
              <w:pStyle w:val="null3"/>
              <w:jc w:val="both"/>
            </w:pPr>
            <w:r>
              <w:rPr>
                <w:rFonts w:ascii="仿宋_GB2312" w:hAnsi="仿宋_GB2312" w:cs="仿宋_GB2312" w:eastAsia="仿宋_GB2312"/>
                <w:sz w:val="20"/>
              </w:rPr>
              <w:t>8.检测探头动态范围：≥100dB；自适应增益调整动态范围：≥120dB；</w:t>
            </w:r>
          </w:p>
          <w:p>
            <w:pPr>
              <w:pStyle w:val="null3"/>
              <w:jc w:val="both"/>
            </w:pPr>
            <w:r>
              <w:rPr>
                <w:rFonts w:ascii="仿宋_GB2312" w:hAnsi="仿宋_GB2312" w:cs="仿宋_GB2312" w:eastAsia="仿宋_GB2312"/>
                <w:sz w:val="20"/>
              </w:rPr>
              <w:t>9.▲便携主机为金属外壳，重量</w:t>
            </w:r>
            <w:r>
              <w:rPr>
                <w:rFonts w:ascii="仿宋_GB2312" w:hAnsi="仿宋_GB2312" w:cs="仿宋_GB2312" w:eastAsia="仿宋_GB2312"/>
                <w:sz w:val="20"/>
              </w:rPr>
              <w:t>≤</w:t>
            </w:r>
            <w:r>
              <w:rPr>
                <w:rFonts w:ascii="仿宋_GB2312" w:hAnsi="仿宋_GB2312" w:cs="仿宋_GB2312" w:eastAsia="仿宋_GB2312"/>
                <w:sz w:val="20"/>
              </w:rPr>
              <w:t>1.5kg；无线距离≥20米，支持与各品牌不同规格型号脑电、TMS联用；</w:t>
            </w:r>
            <w:r>
              <w:rPr>
                <w:rFonts w:ascii="仿宋_GB2312" w:hAnsi="仿宋_GB2312" w:cs="仿宋_GB2312" w:eastAsia="仿宋_GB2312"/>
                <w:sz w:val="20"/>
              </w:rPr>
              <w:t>（</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10.头帽：支持全头检测，尺寸可选；</w:t>
            </w:r>
          </w:p>
          <w:p>
            <w:pPr>
              <w:pStyle w:val="null3"/>
              <w:jc w:val="both"/>
            </w:pPr>
            <w:r>
              <w:rPr>
                <w:rFonts w:ascii="仿宋_GB2312" w:hAnsi="仿宋_GB2312" w:cs="仿宋_GB2312" w:eastAsia="仿宋_GB2312"/>
                <w:sz w:val="20"/>
              </w:rPr>
              <w:t>11.采集软件：支持层叠曲线、散布曲线、拓扑二维图像和拓扑三维MRI图像融合显示等多种信号显示方式，同时同屏显示HBO、HBR、HBT三个3D脑激活图；</w:t>
            </w:r>
          </w:p>
          <w:p>
            <w:pPr>
              <w:pStyle w:val="null3"/>
              <w:jc w:val="both"/>
            </w:pPr>
            <w:r>
              <w:rPr>
                <w:rFonts w:ascii="仿宋_GB2312" w:hAnsi="仿宋_GB2312" w:cs="仿宋_GB2312" w:eastAsia="仿宋_GB2312"/>
                <w:sz w:val="20"/>
              </w:rPr>
              <w:t>12.探头排布与信号同屏显示，信号质量实时监测；支持自动增益调整；支持视频、音频同步录制，同步记录实验过程；</w:t>
            </w:r>
          </w:p>
          <w:p>
            <w:pPr>
              <w:pStyle w:val="null3"/>
              <w:jc w:val="both"/>
            </w:pPr>
            <w:r>
              <w:rPr>
                <w:rFonts w:ascii="仿宋_GB2312" w:hAnsi="仿宋_GB2312" w:cs="仿宋_GB2312" w:eastAsia="仿宋_GB2312"/>
                <w:sz w:val="20"/>
              </w:rPr>
              <w:t>13.自定义任务课题设计，支持自定义刺激素材，支持自定义时间长度和播放时序；</w:t>
            </w:r>
          </w:p>
          <w:p>
            <w:pPr>
              <w:pStyle w:val="null3"/>
              <w:jc w:val="both"/>
            </w:pPr>
            <w:r>
              <w:rPr>
                <w:rFonts w:ascii="仿宋_GB2312" w:hAnsi="仿宋_GB2312" w:cs="仿宋_GB2312" w:eastAsia="仿宋_GB2312"/>
                <w:sz w:val="20"/>
              </w:rPr>
              <w:t xml:space="preserve">14.内置自定义数据分析模块，支持自定义时间窗、特征值、感兴趣区域（Region of Interest， ROI），以及ROI计算因子，并能够执行相应计算； </w:t>
            </w:r>
          </w:p>
          <w:p>
            <w:pPr>
              <w:pStyle w:val="null3"/>
              <w:jc w:val="both"/>
            </w:pPr>
            <w:r>
              <w:rPr>
                <w:rFonts w:ascii="仿宋_GB2312" w:hAnsi="仿宋_GB2312" w:cs="仿宋_GB2312" w:eastAsia="仿宋_GB2312"/>
                <w:sz w:val="20"/>
              </w:rPr>
              <w:t>15.▲提供与整机同品牌专用科学研究分析软件</w:t>
            </w:r>
            <w:r>
              <w:rPr>
                <w:rFonts w:ascii="仿宋_GB2312" w:hAnsi="仿宋_GB2312" w:cs="仿宋_GB2312" w:eastAsia="仿宋_GB2312"/>
                <w:sz w:val="20"/>
              </w:rPr>
              <w:t>（</w:t>
            </w:r>
            <w:r>
              <w:rPr>
                <w:rFonts w:ascii="仿宋_GB2312" w:hAnsi="仿宋_GB2312" w:cs="仿宋_GB2312" w:eastAsia="仿宋_GB2312"/>
                <w:sz w:val="20"/>
              </w:rPr>
              <w:t>提供软件著作权证书材料证明</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科学研究分析软件具备一站式数据分析功能，提供数据预处理、伪迹识别与校正、事件编辑、区块平均脑激活计算、一般线性模型GLM脑激活计算、脑网络连接计算、统计分析、批处理、结果可视化、超扫描分析等功能；</w:t>
            </w:r>
          </w:p>
          <w:p>
            <w:pPr>
              <w:pStyle w:val="null3"/>
              <w:jc w:val="both"/>
            </w:pPr>
            <w:r>
              <w:rPr>
                <w:rFonts w:ascii="仿宋_GB2312" w:hAnsi="仿宋_GB2312" w:cs="仿宋_GB2312" w:eastAsia="仿宋_GB2312"/>
                <w:sz w:val="20"/>
              </w:rPr>
              <w:t>17.科学研究分析软件可自动/手动识别运动伪迹，自动根据标准差和幅值的阈值去除/校正头动伪迹，手动去除/校正头动伪迹；需要提供软件功能截图；</w:t>
            </w:r>
          </w:p>
          <w:p>
            <w:pPr>
              <w:pStyle w:val="null3"/>
              <w:jc w:val="both"/>
            </w:pPr>
            <w:r>
              <w:rPr>
                <w:rFonts w:ascii="仿宋_GB2312" w:hAnsi="仿宋_GB2312" w:cs="仿宋_GB2312" w:eastAsia="仿宋_GB2312"/>
                <w:sz w:val="20"/>
              </w:rPr>
              <w:t>18.科学研究分析软件支持一般线性模型GLM分析；支持单样本T-test、双样本T-test、配对T-test、方差分析F-test数据分析；支持个体、群组数据分析；</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1"/>
              </w:rPr>
              <w:t>与整机同品牌科学研究分析软件，应支持个体水平（单被试）新生儿、婴幼儿脑功能结果的实时可视化展示，支持在同一被试层面灵活切换二维脑图与三维脑图显示方式；新生儿、婴幼儿三维脑图显示应支持</w:t>
            </w:r>
            <w:r>
              <w:rPr>
                <w:rFonts w:ascii="仿宋_GB2312" w:hAnsi="仿宋_GB2312" w:cs="仿宋_GB2312" w:eastAsia="仿宋_GB2312"/>
                <w:sz w:val="20"/>
              </w:rPr>
              <w:t>≥</w:t>
            </w:r>
            <w:r>
              <w:rPr>
                <w:rFonts w:ascii="仿宋_GB2312" w:hAnsi="仿宋_GB2312" w:cs="仿宋_GB2312" w:eastAsia="仿宋_GB2312"/>
                <w:sz w:val="21"/>
              </w:rPr>
              <w:t>6种新生儿、婴幼儿3D标准脑结构模型，适用于新生儿、婴幼儿脑功能研究与临床评估场景；</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0"/>
              </w:rPr>
              <w:t>软件功能截图）</w:t>
            </w:r>
          </w:p>
          <w:p>
            <w:pPr>
              <w:pStyle w:val="null3"/>
              <w:jc w:val="both"/>
            </w:pPr>
            <w:r>
              <w:rPr>
                <w:rFonts w:ascii="仿宋_GB2312" w:hAnsi="仿宋_GB2312" w:cs="仿宋_GB2312" w:eastAsia="仿宋_GB2312"/>
                <w:sz w:val="20"/>
              </w:rPr>
              <w:t>20.▲与整机同品牌数据分析软件，应支持基于变异系数（Coefficient of Variation，CV）的通道质量定量评估，能够以图形化（散点图）方式显示各通道 CV 数值及质量阈值线，实现通道质量的直观判定；并支持在同一界面内通过基于图形界面的交互式点选方式对超出阈值的异常通道进行标记或剔除；</w:t>
            </w:r>
            <w:r>
              <w:rPr>
                <w:rFonts w:ascii="仿宋_GB2312" w:hAnsi="仿宋_GB2312" w:cs="仿宋_GB2312" w:eastAsia="仿宋_GB2312"/>
                <w:sz w:val="20"/>
              </w:rPr>
              <w:t>（</w:t>
            </w:r>
            <w:r>
              <w:rPr>
                <w:rFonts w:ascii="仿宋_GB2312" w:hAnsi="仿宋_GB2312" w:cs="仿宋_GB2312" w:eastAsia="仿宋_GB2312"/>
                <w:sz w:val="20"/>
              </w:rPr>
              <w:t>需提供软件功能截图）</w:t>
            </w:r>
          </w:p>
          <w:p>
            <w:pPr>
              <w:pStyle w:val="null3"/>
              <w:jc w:val="both"/>
            </w:pPr>
            <w:r>
              <w:rPr>
                <w:rFonts w:ascii="仿宋_GB2312" w:hAnsi="仿宋_GB2312" w:cs="仿宋_GB2312" w:eastAsia="仿宋_GB2312"/>
                <w:sz w:val="20"/>
              </w:rPr>
              <w:t>21.支持导入定位信息三维脑图结果支持多种参数自定义设置，包括背景颜色、光照方向、通道Label样式、色块渲染区域大小、脑模颜色透明度、Colorbar等可自定义；支持多视图同屏同时显示，包含正视图、左视图、右视图、后视图、俯视图及任意角度自由转换；</w:t>
            </w:r>
          </w:p>
          <w:p>
            <w:pPr>
              <w:pStyle w:val="null3"/>
              <w:jc w:val="both"/>
            </w:pPr>
            <w:r>
              <w:rPr>
                <w:rFonts w:ascii="仿宋_GB2312" w:hAnsi="仿宋_GB2312" w:cs="仿宋_GB2312" w:eastAsia="仿宋_GB2312"/>
                <w:sz w:val="20"/>
              </w:rPr>
              <w:t>22.▲与整机同品牌科学研究分析软件，提供≥2种数据对齐方式；超扫描小波变换相干分析的数值和图片结果可一键批量导出；支持对超扫描采集的双数据进行小波变换相干性分析；超扫描支持脑间同位及异位通道间的WTC值的计算，并支持群体统计的单样本T检验、双样本T检验、配对T检验、单因素方差分析</w:t>
            </w:r>
            <w:r>
              <w:rPr>
                <w:rFonts w:ascii="仿宋_GB2312" w:hAnsi="仿宋_GB2312" w:cs="仿宋_GB2312" w:eastAsia="仿宋_GB2312"/>
                <w:sz w:val="20"/>
              </w:rPr>
              <w:t>（</w:t>
            </w:r>
            <w:r>
              <w:rPr>
                <w:rFonts w:ascii="仿宋_GB2312" w:hAnsi="仿宋_GB2312" w:cs="仿宋_GB2312" w:eastAsia="仿宋_GB2312"/>
                <w:sz w:val="20"/>
              </w:rPr>
              <w:t>提供国内具备</w:t>
            </w:r>
            <w:r>
              <w:rPr>
                <w:rFonts w:ascii="仿宋_GB2312" w:hAnsi="仿宋_GB2312" w:cs="仿宋_GB2312" w:eastAsia="仿宋_GB2312"/>
                <w:sz w:val="20"/>
              </w:rPr>
              <w:t>CMA或CNAS认证资质的第三方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23.学研究分析软件</w:t>
            </w:r>
            <w:r>
              <w:rPr>
                <w:rFonts w:ascii="仿宋_GB2312" w:hAnsi="仿宋_GB2312" w:cs="仿宋_GB2312" w:eastAsia="仿宋_GB2312"/>
                <w:sz w:val="20"/>
              </w:rPr>
              <w:t>应</w:t>
            </w:r>
            <w:r>
              <w:rPr>
                <w:rFonts w:ascii="仿宋_GB2312" w:hAnsi="仿宋_GB2312" w:cs="仿宋_GB2312" w:eastAsia="仿宋_GB2312"/>
                <w:sz w:val="20"/>
              </w:rPr>
              <w:t>支持</w:t>
            </w:r>
            <w:r>
              <w:rPr>
                <w:rFonts w:ascii="仿宋_GB2312" w:hAnsi="仿宋_GB2312" w:cs="仿宋_GB2312" w:eastAsia="仿宋_GB2312"/>
                <w:sz w:val="20"/>
              </w:rPr>
              <w:t>BlockAverage、功能连接、GLM的数据文件一键批量处理；支持分析小波幅值；支持截取数据分析；支持计算感兴趣频段幅值；支持小波幅值群组统计和绘图；</w:t>
            </w:r>
          </w:p>
          <w:p>
            <w:pPr>
              <w:pStyle w:val="null3"/>
              <w:jc w:val="both"/>
            </w:pPr>
            <w:r>
              <w:rPr>
                <w:rFonts w:ascii="仿宋_GB2312" w:hAnsi="仿宋_GB2312" w:cs="仿宋_GB2312" w:eastAsia="仿宋_GB2312"/>
                <w:sz w:val="20"/>
              </w:rPr>
              <w:t>24.▲与整机同品牌科学研究分析软件，支持基于图论的复杂脑网络分析：支持≥12种主流图论指标计算，包括但不限于小世界属性、全局效率、富集节点、层级系数、同配性、同步性、最短路径长度、聚类系数、节点效率、局部效率、节点度、介数中心度等图论指标；</w:t>
            </w:r>
            <w:r>
              <w:rPr>
                <w:rFonts w:ascii="仿宋_GB2312" w:hAnsi="仿宋_GB2312" w:cs="仿宋_GB2312" w:eastAsia="仿宋_GB2312"/>
                <w:sz w:val="20"/>
              </w:rPr>
              <w:t>（</w:t>
            </w:r>
            <w:r>
              <w:rPr>
                <w:rFonts w:ascii="仿宋_GB2312" w:hAnsi="仿宋_GB2312" w:cs="仿宋_GB2312" w:eastAsia="仿宋_GB2312"/>
                <w:sz w:val="20"/>
              </w:rPr>
              <w:t>提供第三方</w:t>
            </w:r>
            <w:r>
              <w:rPr>
                <w:rFonts w:ascii="仿宋_GB2312" w:hAnsi="仿宋_GB2312" w:cs="仿宋_GB2312" w:eastAsia="仿宋_GB2312"/>
                <w:sz w:val="20"/>
              </w:rPr>
              <w:t>检测</w:t>
            </w:r>
            <w:r>
              <w:rPr>
                <w:rFonts w:ascii="仿宋_GB2312" w:hAnsi="仿宋_GB2312" w:cs="仿宋_GB2312" w:eastAsia="仿宋_GB2312"/>
                <w:sz w:val="20"/>
              </w:rPr>
              <w:t>机构出具的检测报告</w:t>
            </w:r>
            <w:r>
              <w:rPr>
                <w:rFonts w:ascii="仿宋_GB2312" w:hAnsi="仿宋_GB2312" w:cs="仿宋_GB2312" w:eastAsia="仿宋_GB2312"/>
                <w:sz w:val="20"/>
              </w:rPr>
              <w:t>包含</w:t>
            </w:r>
            <w:r>
              <w:rPr>
                <w:rFonts w:ascii="仿宋_GB2312" w:hAnsi="仿宋_GB2312" w:cs="仿宋_GB2312" w:eastAsia="仿宋_GB2312"/>
                <w:sz w:val="20"/>
              </w:rPr>
              <w:t>首页和对应关键页作为证明材料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25.科学研究分析软</w:t>
            </w:r>
            <w:r>
              <w:rPr>
                <w:rFonts w:ascii="仿宋_GB2312" w:hAnsi="仿宋_GB2312" w:cs="仿宋_GB2312" w:eastAsia="仿宋_GB2312"/>
                <w:sz w:val="20"/>
              </w:rPr>
              <w:t>件</w:t>
            </w:r>
            <w:r>
              <w:rPr>
                <w:rFonts w:ascii="仿宋_GB2312" w:hAnsi="仿宋_GB2312" w:cs="仿宋_GB2312" w:eastAsia="仿宋_GB2312"/>
                <w:sz w:val="20"/>
              </w:rPr>
              <w:t>支持二维拓扑显示、二维头模叠加显示、三维</w:t>
            </w:r>
            <w:r>
              <w:rPr>
                <w:rFonts w:ascii="仿宋_GB2312" w:hAnsi="仿宋_GB2312" w:cs="仿宋_GB2312" w:eastAsia="仿宋_GB2312"/>
                <w:sz w:val="20"/>
              </w:rPr>
              <w:t>MRI图像融合叠加显示等；</w:t>
            </w:r>
          </w:p>
          <w:p>
            <w:pPr>
              <w:pStyle w:val="null3"/>
            </w:pPr>
            <w:r>
              <w:rPr>
                <w:rFonts w:ascii="仿宋_GB2312" w:hAnsi="仿宋_GB2312" w:cs="仿宋_GB2312" w:eastAsia="仿宋_GB2312"/>
                <w:sz w:val="20"/>
              </w:rPr>
              <w:t>26.科学研究分析软</w:t>
            </w:r>
            <w:r>
              <w:rPr>
                <w:rFonts w:ascii="仿宋_GB2312" w:hAnsi="仿宋_GB2312" w:cs="仿宋_GB2312" w:eastAsia="仿宋_GB2312"/>
                <w:sz w:val="20"/>
              </w:rPr>
              <w:t>件</w:t>
            </w:r>
            <w:r>
              <w:rPr>
                <w:rFonts w:ascii="仿宋_GB2312" w:hAnsi="仿宋_GB2312" w:cs="仿宋_GB2312" w:eastAsia="仿宋_GB2312"/>
                <w:sz w:val="20"/>
              </w:rPr>
              <w:t>支持波形、二维、三维图像等查看方式；可保存为</w:t>
            </w:r>
            <w:r>
              <w:rPr>
                <w:rFonts w:ascii="仿宋_GB2312" w:hAnsi="仿宋_GB2312" w:cs="仿宋_GB2312" w:eastAsia="仿宋_GB2312"/>
                <w:sz w:val="20"/>
              </w:rPr>
              <w:t>".tif"、".bmp"、".mat"等格式；支持数据和处理结果导出，保存为".CSV"等多种数据格式；支持导出≥960dpi的图片。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 30 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 1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 便携式近红外脑功能成像装置。 2.供应商须保证软件产品的合法使用权，产生的一切知识产权纠纷由供应商负责，采购人不承担责任。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货物渠道来源</w:t>
            </w:r>
          </w:p>
        </w:tc>
        <w:tc>
          <w:tcPr>
            <w:tcW w:type="dxa" w:w="2492"/>
          </w:tcPr>
          <w:p>
            <w:pPr>
              <w:pStyle w:val="null3"/>
            </w:pPr>
            <w:r>
              <w:rPr>
                <w:rFonts w:ascii="仿宋_GB2312" w:hAnsi="仿宋_GB2312" w:cs="仿宋_GB2312" w:eastAsia="仿宋_GB2312"/>
              </w:rPr>
              <w:t>所投产品应货源正规，提供不限于厂家授权、代理协议等证明材料，此项满分3分：1.投标产品来源渠道明确，证明材料中品牌型号与投标产品相对应计3分；2.投标产品来源渠道不明确或证明材料中的品牌型号与投标产品不能完全对应计2分；3.投标产品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货物渠道来源.docx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1分。未带标识参数每负偏离一项扣0.3分，扣完为止。 备注：“★”和“▲”参数须按照技术参数与性能指标要求提供证明材料，未提供佐证材料或佐证材料低于招标文件规定的相应技术指标、参数时视为负偏离。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配送保障。评审依据：每一项内容描述详细，切实可行符合项目实际内容得1.5分，①～⑥项合计得9分。内容①～⑥项任意一项缺项扣1.5分，扣完为止；内容①～⑥项里有一项内容缺陷（缺陷是指：内容不详细具体、条理不清晰、描述过于简单、与项目特点不匹配、凭空编造、出现常识性错误、不可能实现的夸大情形、存在不适用项目实际情况的情形等）扣1～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运输安装调试措施等</w:t>
            </w:r>
          </w:p>
        </w:tc>
        <w:tc>
          <w:tcPr>
            <w:tcW w:type="dxa" w:w="2492"/>
          </w:tcPr>
          <w:p>
            <w:pPr>
              <w:pStyle w:val="null3"/>
            </w:pPr>
            <w:r>
              <w:rPr>
                <w:rFonts w:ascii="仿宋_GB2312" w:hAnsi="仿宋_GB2312" w:cs="仿宋_GB2312" w:eastAsia="仿宋_GB2312"/>
              </w:rPr>
              <w:t>针对本项目提供①运输安装调试措施②应急方案及措施③验收措施。本项共3项，各项内容完全满足采购需求计2分，①～③项合计得6分。内容①～③项任意一项缺项扣2分，扣完为止；内容①～③项里有一项内容缺陷（缺陷是指：内容不详细具体、条理不清晰、描述过于简单、与项目特点不匹配、凭空编造、出现常识性错误、不可能实现的夸大情形、存在不适用项目实际情况的情形等）扣1.5～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运输安装调试措施等.docx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2分，①～②项合计得4分。内容①～②项任意一项缺项扣2分，扣完为止；内容①～②项里有一项内容缺陷（缺陷是指：内容不详细具体、条理不清晰、描述过于简单、与项目特点不匹配、凭空编造、出现常识性错误、不可能实现的夸大情形、存在不适用项目实际情况的情形等）扣1.5～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括：①售后服务体系②售后服务人员安排③售后服务响应时间与处理时间④售后服务内容和操作流程⑤售后服务方式⑥售后服务保证措施。本项共6项，各项内容完全满足采购需求计1分，①～⑥项合计得6分。内容①～⑥项项任意一项缺项扣1分，扣完为止；内容①～⑥项项里有一项内容缺陷（缺陷是指：内容不详细具体、条理不清晰、描述过于简单、与项目特点不匹配、凭空编造、出现常识性错误、不可能实现的夸大情形、存在不适用项目实际情况的情形等）扣0.5～0.1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培训服务包括：①培训方案②培训内容③培训计划④培训措施承诺。本项共4项，每项内容完全满足采购需求计1分；①～④项合计得4分。内容①～④项项任意一项缺项扣1分，扣完为止；内容①～⑥项项里有一项内容缺陷（缺陷是指：内容不详细具体、条理不清晰、描述过于简单、与项目特点不匹配、凭空编造、出现常识性错误、不可能实现的夸大情形、存在不适用项目实际情况的情形等）扣0.5～0.1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提供供应商2023年1月1日至投标文件提交截止前类似项目的合同复印件，以合同签订日期为准，每提供一份合同得1分，满分3分。未提供不得分。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详见附件：货物渠道来源.docx</w:t>
      </w:r>
    </w:p>
    <w:p>
      <w:pPr>
        <w:pStyle w:val="null3"/>
        <w:ind w:firstLine="960"/>
      </w:pPr>
      <w:r>
        <w:rPr>
          <w:rFonts w:ascii="仿宋_GB2312" w:hAnsi="仿宋_GB2312" w:cs="仿宋_GB2312" w:eastAsia="仿宋_GB2312"/>
        </w:rPr>
        <w:t>详见附件：培训服务.docx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详见附件：运输安装调试措施等.docx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