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三、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谈判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方案说明书</w:t>
      </w:r>
    </w:p>
    <w:p w14:paraId="05807573">
      <w:pPr>
        <w:spacing w:after="120"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</w:p>
    <w:p w14:paraId="2C266BE9">
      <w:pPr>
        <w:spacing w:after="120"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590686C9">
      <w:pPr>
        <w:pStyle w:val="2"/>
        <w:spacing w:line="36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按照竞争性谈判文件的要求编制的谈判方案说明书，内容包括组织供货和服务方案、技术规格响应表、产品的彩页（如有）、符合质量标准的证明文件、质量保证和售后服务承诺等。至少应包括：</w:t>
      </w:r>
    </w:p>
    <w:p w14:paraId="6A6DAF40">
      <w:pPr>
        <w:pStyle w:val="2"/>
        <w:spacing w:line="36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1、组织供货和服务方案。要求谈判供应商针对本项目的需求提供全面、完整的方案；</w:t>
      </w:r>
    </w:p>
    <w:p w14:paraId="0CE9091D">
      <w:pPr>
        <w:pStyle w:val="2"/>
        <w:spacing w:line="36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2、谈判产品的技术规格、数量及单位、生产厂家等，提供详细的供货配置清单；</w:t>
      </w:r>
    </w:p>
    <w:p w14:paraId="630F4F5C">
      <w:pPr>
        <w:pStyle w:val="2"/>
        <w:spacing w:line="36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3、产品来源渠道合法的证明文件（包括但不限于销售协议/代理协议/原厂授权等）； </w:t>
      </w:r>
    </w:p>
    <w:p w14:paraId="5D64749B">
      <w:pPr>
        <w:pStyle w:val="2"/>
        <w:spacing w:line="36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4、填写技术规格响应表（见附表）并提供支持文件；</w:t>
      </w:r>
    </w:p>
    <w:p w14:paraId="5DAE4432">
      <w:pPr>
        <w:pStyle w:val="2"/>
        <w:spacing w:line="36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5</w:t>
      </w:r>
      <w:r>
        <w:rPr>
          <w:rFonts w:hAnsi="宋体"/>
          <w:sz w:val="24"/>
          <w:szCs w:val="24"/>
        </w:rPr>
        <w:t>、谈判产品的彩页（如有）；</w:t>
      </w:r>
    </w:p>
    <w:p w14:paraId="017B252F">
      <w:pPr>
        <w:pStyle w:val="2"/>
        <w:spacing w:line="36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6</w:t>
      </w:r>
      <w:r>
        <w:rPr>
          <w:rFonts w:hAnsi="宋体"/>
          <w:sz w:val="24"/>
          <w:szCs w:val="24"/>
        </w:rPr>
        <w:t>、质量保证措施、售后服务方案、响应时间、验收等</w:t>
      </w:r>
      <w:r>
        <w:rPr>
          <w:rFonts w:hint="eastAsia" w:hAnsi="宋体"/>
          <w:sz w:val="24"/>
          <w:szCs w:val="24"/>
        </w:rPr>
        <w:t>；</w:t>
      </w:r>
    </w:p>
    <w:p w14:paraId="6C4E2894">
      <w:pPr>
        <w:pStyle w:val="2"/>
        <w:spacing w:line="36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7</w:t>
      </w:r>
      <w:r>
        <w:rPr>
          <w:rFonts w:hAnsi="宋体"/>
          <w:sz w:val="24"/>
          <w:szCs w:val="24"/>
        </w:rPr>
        <w:t>、供应商服务承诺书</w:t>
      </w:r>
      <w:r>
        <w:rPr>
          <w:rFonts w:hint="eastAsia" w:hAnsi="宋体"/>
          <w:sz w:val="24"/>
          <w:szCs w:val="24"/>
        </w:rPr>
        <w:t>。</w:t>
      </w:r>
    </w:p>
    <w:p w14:paraId="0D77B1ED">
      <w:pPr>
        <w:pStyle w:val="3"/>
        <w:widowControl w:val="0"/>
        <w:spacing w:before="156" w:beforeLines="50" w:beforeAutospacing="0" w:after="156" w:afterLines="50" w:afterAutospacing="0" w:line="360" w:lineRule="auto"/>
        <w:ind w:firstLine="480" w:firstLineChars="200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8、★条款为实质性参数，未响应按无效处理；非实质性（一般性）参数实行承诺制，供应商提供《一般性技术参数响应承诺书》（格式自拟，须载明满足全部一般性参数及违约追责条款）。</w:t>
      </w:r>
    </w:p>
    <w:tbl>
      <w:tblPr>
        <w:tblStyle w:val="4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2106"/>
        <w:gridCol w:w="5240"/>
        <w:gridCol w:w="588"/>
      </w:tblGrid>
      <w:tr w14:paraId="1C3A5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5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694E63D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21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CED3A52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产品</w:t>
            </w:r>
          </w:p>
        </w:tc>
        <w:tc>
          <w:tcPr>
            <w:tcW w:w="52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DD19FA2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★条款</w:t>
            </w:r>
          </w:p>
        </w:tc>
        <w:tc>
          <w:tcPr>
            <w:tcW w:w="58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5B36DAB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备注</w:t>
            </w:r>
          </w:p>
        </w:tc>
      </w:tr>
      <w:tr w14:paraId="2A942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E042016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1</w:t>
            </w:r>
          </w:p>
        </w:tc>
        <w:tc>
          <w:tcPr>
            <w:tcW w:w="2106" w:type="dxa"/>
            <w:vMerge w:val="restart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EFF26ED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86寸智慧黑板</w:t>
            </w:r>
          </w:p>
        </w:tc>
        <w:tc>
          <w:tcPr>
            <w:tcW w:w="524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D986E02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★3.为方便老师教学操作及避免误操作，支持实体按键≥8个，功能至少包括开关、主页、音量+、音量-、菜单、信号源、返回、护眼等。按键支持复用，支持通过长按、短按实现多种功能。提供所投产品由第三方权威检测机构出具的检测报告复印件，并加盖投标人公章。</w:t>
            </w:r>
          </w:p>
        </w:tc>
        <w:tc>
          <w:tcPr>
            <w:tcW w:w="588" w:type="dxa"/>
            <w:vMerge w:val="restart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74756C8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</w:p>
        </w:tc>
      </w:tr>
      <w:tr w14:paraId="6F097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3220299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0FE3DE2">
            <w:pPr>
              <w:keepNext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</w:p>
        </w:tc>
        <w:tc>
          <w:tcPr>
            <w:tcW w:w="524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9432B8A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★7.支持对录制完成的视频进行后期编辑，包括合并多个视频文件、剪切视频片段以及预览编辑后的视频效果；支持在视频中加入不少于24个文字水印。在添加水印时，可以选择字体大小、字体颜色、透明度等设置，可以自由设定水印在视频中的显示位置。提供所投产品由第三方权威检测机构出具的检测报告复印件，并加盖投标人公章。</w:t>
            </w:r>
          </w:p>
        </w:tc>
        <w:tc>
          <w:tcPr>
            <w:tcW w:w="588" w:type="dxa"/>
            <w:vMerge w:val="continue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34F9C0E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</w:p>
        </w:tc>
      </w:tr>
      <w:tr w14:paraId="31B67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9BF7C65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2947610">
            <w:pPr>
              <w:keepNext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</w:p>
        </w:tc>
        <w:tc>
          <w:tcPr>
            <w:tcW w:w="524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AF1B448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★9.文件快传功能：支持移动端和大屏端之间的文件互传，支持通过扫码来选择上传文件。支持在大屏端选择要下发的文件，可以通过扫码将文件带走，实现文件共享。提供所投产品由第三方权威检测机构出具的检测报告复印件，并加盖投标人公章。</w:t>
            </w:r>
          </w:p>
        </w:tc>
        <w:tc>
          <w:tcPr>
            <w:tcW w:w="588" w:type="dxa"/>
            <w:vMerge w:val="continue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D7DA42E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</w:p>
        </w:tc>
      </w:tr>
      <w:tr w14:paraId="2F360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8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F4E3743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2</w:t>
            </w:r>
          </w:p>
        </w:tc>
        <w:tc>
          <w:tcPr>
            <w:tcW w:w="210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F1297F0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科学实验箱</w:t>
            </w:r>
          </w:p>
        </w:tc>
        <w:tc>
          <w:tcPr>
            <w:tcW w:w="524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736D393">
            <w:pPr>
              <w:pStyle w:val="3"/>
              <w:keepNext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★5.投标时须提供近一年内由第三方检测机构出具的带有CMA标志的检测报告复印件（加盖投标人公章即可），报告内容须明确涵盖邻苯二甲酸酯限量测试及特定元素（重金属及类金属）迁移量测试结果。</w:t>
            </w:r>
          </w:p>
        </w:tc>
        <w:tc>
          <w:tcPr>
            <w:tcW w:w="588" w:type="dxa"/>
            <w:shd w:val="clear" w:color="auto" w:fill="FFFFFF"/>
            <w:vAlign w:val="center"/>
          </w:tcPr>
          <w:p w14:paraId="0A0D8CE2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</w:p>
        </w:tc>
      </w:tr>
    </w:tbl>
    <w:p w14:paraId="007BBFAF">
      <w:pPr>
        <w:pStyle w:val="3"/>
        <w:widowControl w:val="0"/>
        <w:spacing w:before="156" w:beforeLines="50" w:beforeAutospacing="0" w:after="156" w:afterLines="50" w:afterAutospacing="0"/>
        <w:ind w:firstLine="480" w:firstLineChars="200"/>
        <w:rPr>
          <w:rFonts w:hint="eastAsia" w:cs="宋体"/>
          <w:lang w:val="en-US" w:eastAsia="zh-CN"/>
        </w:rPr>
      </w:pPr>
    </w:p>
    <w:p w14:paraId="43F18F5D">
      <w:pPr>
        <w:spacing w:line="440" w:lineRule="exact"/>
        <w:ind w:left="3725" w:leftChars="1552"/>
        <w:rPr>
          <w:rFonts w:hint="eastAsia" w:ascii="宋体" w:hAnsi="宋体" w:cs="宋体"/>
          <w:szCs w:val="24"/>
        </w:rPr>
      </w:pPr>
    </w:p>
    <w:p w14:paraId="2515BA74">
      <w:pPr>
        <w:spacing w:line="440" w:lineRule="exact"/>
        <w:ind w:left="3725" w:leftChars="1552"/>
        <w:rPr>
          <w:rFonts w:hint="eastAsia" w:ascii="宋体" w:hAnsi="宋体" w:cs="宋体"/>
          <w:szCs w:val="24"/>
        </w:rPr>
      </w:pPr>
    </w:p>
    <w:p w14:paraId="1C3567BE"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sz w:val="30"/>
          <w:szCs w:val="30"/>
        </w:rPr>
        <w:br w:type="page"/>
      </w:r>
    </w:p>
    <w:p w14:paraId="104E3B0B">
      <w:pPr>
        <w:rPr>
          <w:rFonts w:hAnsi="宋体"/>
          <w:b/>
          <w:color w:val="auto"/>
          <w:szCs w:val="24"/>
          <w:highlight w:val="none"/>
        </w:rPr>
      </w:pPr>
      <w:r>
        <w:rPr>
          <w:rFonts w:hint="eastAsia" w:hAnsi="宋体"/>
          <w:b/>
          <w:color w:val="auto"/>
          <w:szCs w:val="24"/>
          <w:highlight w:val="none"/>
        </w:rPr>
        <w:t>附表1：</w:t>
      </w:r>
    </w:p>
    <w:p w14:paraId="0CCB19E6">
      <w:pPr>
        <w:spacing w:after="120"/>
        <w:jc w:val="center"/>
        <w:rPr>
          <w:rFonts w:hAnsi="宋体"/>
          <w:b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color w:val="auto"/>
          <w:sz w:val="32"/>
          <w:szCs w:val="32"/>
          <w:highlight w:val="none"/>
        </w:rPr>
        <w:t>技术规格响应表</w:t>
      </w:r>
    </w:p>
    <w:p w14:paraId="61074CC6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</w:p>
    <w:p w14:paraId="432AB2BD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4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781"/>
        <w:gridCol w:w="1188"/>
        <w:gridCol w:w="1025"/>
      </w:tblGrid>
      <w:tr w14:paraId="6C2D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737" w:type="dxa"/>
            <w:noWrap w:val="0"/>
            <w:vAlign w:val="top"/>
          </w:tcPr>
          <w:p w14:paraId="4D7B14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top"/>
          </w:tcPr>
          <w:p w14:paraId="7A508C6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产品名称</w:t>
            </w:r>
          </w:p>
        </w:tc>
        <w:tc>
          <w:tcPr>
            <w:tcW w:w="2268" w:type="dxa"/>
            <w:noWrap w:val="0"/>
            <w:vAlign w:val="top"/>
          </w:tcPr>
          <w:p w14:paraId="7E3EA72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招标规格 ☆1</w:t>
            </w:r>
          </w:p>
        </w:tc>
        <w:tc>
          <w:tcPr>
            <w:tcW w:w="2781" w:type="dxa"/>
            <w:noWrap w:val="0"/>
            <w:vAlign w:val="top"/>
          </w:tcPr>
          <w:p w14:paraId="7A8E172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投标规格 ☆2</w:t>
            </w:r>
          </w:p>
        </w:tc>
        <w:tc>
          <w:tcPr>
            <w:tcW w:w="1188" w:type="dxa"/>
            <w:noWrap w:val="0"/>
            <w:vAlign w:val="top"/>
          </w:tcPr>
          <w:p w14:paraId="1366195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1025" w:type="dxa"/>
            <w:noWrap w:val="0"/>
            <w:vAlign w:val="top"/>
          </w:tcPr>
          <w:p w14:paraId="23EDFB74">
            <w:pPr>
              <w:spacing w:before="166" w:beforeLines="5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佐证材料页码</w:t>
            </w:r>
          </w:p>
        </w:tc>
      </w:tr>
      <w:tr w14:paraId="7638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CB6B83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C5299C9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91F2FB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985DAD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F32402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24112B1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D83C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AC3EA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C15F62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489E86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F240AD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D8359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1B2EF08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ECBF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D46876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599C3A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CA4732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56E5CDA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71EF16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583B7EB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A01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5CD4BA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884A1F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CD8E3B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4F1C2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F1E4C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2E451D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CA7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3E1FE43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C280D7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9E8EC5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6ADA371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13ECF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BC38B5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8F9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4AFBE7B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8878B0B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02FD98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3944318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EB337F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3460500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EB2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7CAB4BD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7BC5C4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712A1B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078D43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76264C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6553BB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454D33A">
      <w:pPr>
        <w:rPr>
          <w:rFonts w:hAnsi="宋体"/>
          <w:color w:val="auto"/>
          <w:highlight w:val="none"/>
        </w:rPr>
      </w:pPr>
    </w:p>
    <w:p w14:paraId="4732B3B6">
      <w:pPr>
        <w:rPr>
          <w:rFonts w:hAnsi="宋体"/>
          <w:color w:val="auto"/>
          <w:highlight w:val="none"/>
        </w:rPr>
      </w:pPr>
    </w:p>
    <w:p w14:paraId="5BAE0B04">
      <w:pPr>
        <w:rPr>
          <w:rFonts w:hAnsi="宋体"/>
          <w:color w:val="auto"/>
          <w:szCs w:val="24"/>
          <w:highlight w:val="none"/>
        </w:rPr>
      </w:pPr>
    </w:p>
    <w:p w14:paraId="26C31B8C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</w:t>
      </w:r>
      <w:r>
        <w:rPr>
          <w:rFonts w:hint="eastAsia" w:hAnsi="宋体"/>
          <w:color w:val="auto"/>
          <w:szCs w:val="24"/>
          <w:highlight w:val="none"/>
        </w:rPr>
        <w:t>:</w:t>
      </w:r>
    </w:p>
    <w:p w14:paraId="2F9FA005">
      <w:pPr>
        <w:tabs>
          <w:tab w:val="left" w:pos="3045"/>
        </w:tabs>
        <w:spacing w:line="280" w:lineRule="exact"/>
        <w:rPr>
          <w:rFonts w:hAnsi="宋体"/>
          <w:color w:val="auto"/>
          <w:szCs w:val="24"/>
          <w:highlight w:val="none"/>
        </w:rPr>
      </w:pPr>
    </w:p>
    <w:p w14:paraId="249A84F4">
      <w:pPr>
        <w:spacing w:line="280" w:lineRule="exact"/>
        <w:rPr>
          <w:rFonts w:hAnsi="宋体"/>
          <w:color w:val="auto"/>
          <w:szCs w:val="24"/>
          <w:highlight w:val="none"/>
        </w:rPr>
      </w:pPr>
    </w:p>
    <w:p w14:paraId="2574362A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公      章：</w:t>
      </w:r>
    </w:p>
    <w:p w14:paraId="45AE748C">
      <w:pPr>
        <w:rPr>
          <w:rFonts w:hAnsi="宋体"/>
          <w:color w:val="auto"/>
          <w:szCs w:val="24"/>
          <w:highlight w:val="none"/>
        </w:rPr>
      </w:pPr>
    </w:p>
    <w:p w14:paraId="37DE2C91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注:  1.  ☆1指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hAnsi="宋体"/>
          <w:color w:val="auto"/>
          <w:szCs w:val="24"/>
          <w:highlight w:val="none"/>
        </w:rPr>
        <w:t>文件中的技术规格(参数),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Cs w:val="24"/>
          <w:highlight w:val="none"/>
        </w:rPr>
        <w:t>应按照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hAnsi="宋体"/>
          <w:color w:val="auto"/>
          <w:szCs w:val="24"/>
          <w:highlight w:val="none"/>
        </w:rPr>
        <w:t>文件中的内容逐条抄写。</w:t>
      </w:r>
    </w:p>
    <w:p w14:paraId="12C2D10A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2.  ☆2指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Cs w:val="24"/>
          <w:highlight w:val="none"/>
        </w:rPr>
        <w:t>拟提供的产品的功能及技术规格(参数),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Cs w:val="24"/>
          <w:highlight w:val="none"/>
        </w:rPr>
        <w:t>应逐条如实填写并提供相应的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参数</w:t>
      </w:r>
      <w:r>
        <w:rPr>
          <w:rFonts w:hint="eastAsia" w:hAnsi="宋体"/>
          <w:color w:val="auto"/>
          <w:szCs w:val="24"/>
          <w:highlight w:val="none"/>
        </w:rPr>
        <w:t xml:space="preserve">支持文件。 </w:t>
      </w:r>
    </w:p>
    <w:p w14:paraId="3CA3ABD1">
      <w:pPr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</w:t>
      </w:r>
      <w:r>
        <w:rPr>
          <w:rFonts w:hint="eastAsia" w:hAnsi="宋体"/>
          <w:color w:val="auto"/>
          <w:highlight w:val="none"/>
        </w:rPr>
        <w:t>3.     偏离说明填写：优于、满足或低于。</w:t>
      </w:r>
    </w:p>
    <w:p w14:paraId="6A90FE21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</w:p>
    <w:p w14:paraId="28C922DC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</w:t>
      </w: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文件的要求编制的</w:t>
      </w: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方案说明书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B36D6"/>
    <w:rsid w:val="13950F54"/>
    <w:rsid w:val="3D346110"/>
    <w:rsid w:val="4CA7381B"/>
    <w:rsid w:val="50BE049C"/>
    <w:rsid w:val="5AEB36D6"/>
    <w:rsid w:val="76E8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宋体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1072</Words>
  <Characters>1085</Characters>
  <Lines>0</Lines>
  <Paragraphs>0</Paragraphs>
  <TotalTime>15</TotalTime>
  <ScaleCrop>false</ScaleCrop>
  <LinksUpToDate>false</LinksUpToDate>
  <CharactersWithSpaces>1136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2026-03-05T06:50:00Z</dcterms:created>
  <dc:creator>lllllll</dc:creator>
  <cp:lastModifiedBy>lenovo</cp:lastModifiedBy>
  <dcterms:modified xsi:type="dcterms:W3CDTF">2026-08-28T01:47:44Z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27D85D887384405788CE6A264582759B_11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