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
        <w:tblpPr w:leftFromText="180" w:rightFromText="180" w:vertAnchor="text" w:horzAnchor="page" w:tblpX="1802" w:tblpY="298"/>
        <w:tblOverlap w:val="never"/>
        <w:tblW w:w="4998" w:type="pct"/>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838"/>
        <w:gridCol w:w="1183"/>
        <w:gridCol w:w="5455"/>
        <w:gridCol w:w="937"/>
      </w:tblGrid>
      <w:tr w14:paraId="38165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87" w:hRule="atLeast"/>
          <w:tblCellSpacing w:w="15" w:type="dxa"/>
        </w:trPr>
        <w:tc>
          <w:tcPr>
            <w:tcW w:w="471" w:type="pct"/>
            <w:tcBorders>
              <w:tl2br w:val="nil"/>
              <w:tr2bl w:val="nil"/>
            </w:tcBorders>
            <w:vAlign w:val="center"/>
          </w:tcPr>
          <w:p w14:paraId="02775D9A">
            <w:pPr>
              <w:widowControl/>
              <w:spacing w:line="400" w:lineRule="exact"/>
              <w:jc w:val="center"/>
              <w:rPr>
                <w:rFonts w:ascii="仿宋_GB2312" w:eastAsia="仿宋_GB2312"/>
                <w:bCs/>
                <w:sz w:val="24"/>
              </w:rPr>
            </w:pPr>
            <w:r>
              <w:rPr>
                <w:rFonts w:hint="eastAsia" w:ascii="仿宋_GB2312" w:hAnsi="宋体" w:eastAsia="仿宋_GB2312" w:cs="宋体"/>
                <w:bCs/>
                <w:kern w:val="0"/>
                <w:sz w:val="24"/>
              </w:rPr>
              <w:t>序号</w:t>
            </w:r>
          </w:p>
        </w:tc>
        <w:tc>
          <w:tcPr>
            <w:tcW w:w="685" w:type="pct"/>
            <w:tcBorders>
              <w:tl2br w:val="nil"/>
              <w:tr2bl w:val="nil"/>
            </w:tcBorders>
            <w:vAlign w:val="center"/>
          </w:tcPr>
          <w:p w14:paraId="21C8E867">
            <w:pPr>
              <w:widowControl/>
              <w:spacing w:line="400" w:lineRule="exact"/>
              <w:jc w:val="center"/>
              <w:rPr>
                <w:rFonts w:ascii="仿宋_GB2312" w:eastAsia="仿宋_GB2312"/>
                <w:bCs/>
                <w:sz w:val="24"/>
              </w:rPr>
            </w:pPr>
            <w:r>
              <w:rPr>
                <w:rFonts w:hint="eastAsia" w:ascii="仿宋_GB2312" w:hAnsi="宋体" w:eastAsia="仿宋_GB2312" w:cs="宋体"/>
                <w:bCs/>
                <w:kern w:val="0"/>
                <w:sz w:val="24"/>
              </w:rPr>
              <w:t>采购项目名称</w:t>
            </w:r>
          </w:p>
        </w:tc>
        <w:tc>
          <w:tcPr>
            <w:tcW w:w="3223" w:type="pct"/>
            <w:tcBorders>
              <w:tl2br w:val="nil"/>
              <w:tr2bl w:val="nil"/>
            </w:tcBorders>
            <w:vAlign w:val="center"/>
          </w:tcPr>
          <w:p w14:paraId="6FAB4F9A">
            <w:pPr>
              <w:widowControl/>
              <w:spacing w:line="400" w:lineRule="exact"/>
              <w:jc w:val="center"/>
              <w:rPr>
                <w:rFonts w:ascii="仿宋_GB2312" w:eastAsia="仿宋_GB2312"/>
                <w:bCs/>
                <w:sz w:val="24"/>
              </w:rPr>
            </w:pPr>
            <w:r>
              <w:rPr>
                <w:rFonts w:hint="eastAsia" w:ascii="仿宋_GB2312" w:hAnsi="宋体" w:eastAsia="仿宋_GB2312" w:cs="宋体"/>
                <w:bCs/>
                <w:kern w:val="0"/>
                <w:sz w:val="24"/>
              </w:rPr>
              <w:t>采购需求概况</w:t>
            </w:r>
          </w:p>
        </w:tc>
        <w:tc>
          <w:tcPr>
            <w:tcW w:w="530" w:type="pct"/>
            <w:tcBorders>
              <w:tl2br w:val="nil"/>
              <w:tr2bl w:val="nil"/>
            </w:tcBorders>
            <w:vAlign w:val="center"/>
          </w:tcPr>
          <w:p w14:paraId="443BAB9F">
            <w:pPr>
              <w:widowControl/>
              <w:spacing w:line="400" w:lineRule="exact"/>
              <w:jc w:val="center"/>
              <w:rPr>
                <w:rFonts w:ascii="仿宋_GB2312" w:eastAsia="仿宋_GB2312"/>
                <w:bCs/>
                <w:sz w:val="24"/>
              </w:rPr>
            </w:pPr>
            <w:r>
              <w:rPr>
                <w:rFonts w:hint="eastAsia" w:ascii="仿宋_GB2312" w:hAnsi="宋体" w:eastAsia="仿宋_GB2312" w:cs="宋体"/>
                <w:bCs/>
                <w:kern w:val="0"/>
                <w:sz w:val="24"/>
              </w:rPr>
              <w:t>备注</w:t>
            </w:r>
          </w:p>
        </w:tc>
      </w:tr>
      <w:tr w14:paraId="0BF56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019" w:hRule="atLeast"/>
          <w:tblCellSpacing w:w="15" w:type="dxa"/>
        </w:trPr>
        <w:tc>
          <w:tcPr>
            <w:tcW w:w="471" w:type="pct"/>
            <w:tcBorders>
              <w:tl2br w:val="nil"/>
              <w:tr2bl w:val="nil"/>
            </w:tcBorders>
            <w:vAlign w:val="center"/>
          </w:tcPr>
          <w:p w14:paraId="1632B971">
            <w:pPr>
              <w:widowControl/>
              <w:spacing w:line="400" w:lineRule="exact"/>
              <w:jc w:val="left"/>
              <w:rPr>
                <w:rFonts w:ascii="仿宋_GB2312" w:eastAsia="仿宋_GB2312"/>
                <w:bCs/>
                <w:sz w:val="24"/>
              </w:rPr>
            </w:pPr>
            <w:r>
              <w:rPr>
                <w:rFonts w:hint="eastAsia" w:ascii="仿宋_GB2312" w:hAnsi="宋体" w:eastAsia="仿宋_GB2312" w:cs="宋体"/>
                <w:bCs/>
                <w:kern w:val="0"/>
                <w:sz w:val="24"/>
              </w:rPr>
              <w:t>1</w:t>
            </w:r>
          </w:p>
        </w:tc>
        <w:tc>
          <w:tcPr>
            <w:tcW w:w="685" w:type="pct"/>
            <w:tcBorders>
              <w:tl2br w:val="nil"/>
              <w:tr2bl w:val="nil"/>
            </w:tcBorders>
            <w:vAlign w:val="center"/>
          </w:tcPr>
          <w:p w14:paraId="36CDAF09">
            <w:pPr>
              <w:widowControl/>
              <w:spacing w:line="400" w:lineRule="exact"/>
              <w:jc w:val="left"/>
              <w:rPr>
                <w:rFonts w:ascii="仿宋_GB2312" w:eastAsia="仿宋_GB2312"/>
                <w:bCs/>
                <w:sz w:val="24"/>
                <w:highlight w:val="yellow"/>
              </w:rPr>
            </w:pPr>
            <w:r>
              <w:rPr>
                <w:rFonts w:ascii="仿宋_GB2312" w:eastAsia="仿宋_GB2312"/>
                <w:bCs/>
                <w:sz w:val="24"/>
              </w:rPr>
              <w:t>西安曲江老年公寓供电双回路改造项目</w:t>
            </w:r>
          </w:p>
        </w:tc>
        <w:tc>
          <w:tcPr>
            <w:tcW w:w="3223" w:type="pct"/>
            <w:tcBorders>
              <w:tl2br w:val="nil"/>
              <w:tr2bl w:val="nil"/>
            </w:tcBorders>
            <w:vAlign w:val="center"/>
          </w:tcPr>
          <w:p w14:paraId="40C2A6A9">
            <w:pPr>
              <w:widowControl/>
              <w:spacing w:line="400" w:lineRule="exact"/>
              <w:jc w:val="left"/>
              <w:rPr>
                <w:rFonts w:hint="eastAsia" w:ascii="仿宋_GB2312" w:hAnsi="宋体" w:eastAsia="仿宋_GB2312" w:cs="宋体"/>
                <w:bCs/>
                <w:kern w:val="0"/>
                <w:sz w:val="24"/>
              </w:rPr>
            </w:pPr>
            <w:r>
              <w:rPr>
                <w:rFonts w:hint="eastAsia" w:ascii="仿宋_GB2312" w:hAnsi="宋体" w:eastAsia="仿宋_GB2312" w:cs="宋体"/>
                <w:bCs/>
                <w:kern w:val="0"/>
                <w:sz w:val="24"/>
              </w:rPr>
              <w:t>一、采购内容</w:t>
            </w:r>
          </w:p>
          <w:p w14:paraId="68A108BD">
            <w:pPr>
              <w:widowControl/>
              <w:spacing w:line="400" w:lineRule="exact"/>
              <w:jc w:val="left"/>
              <w:rPr>
                <w:rFonts w:hint="eastAsia" w:ascii="仿宋_GB2312" w:hAnsi="宋体" w:eastAsia="仿宋_GB2312" w:cs="宋体"/>
                <w:bCs/>
                <w:kern w:val="0"/>
                <w:sz w:val="24"/>
              </w:rPr>
            </w:pPr>
            <w:r>
              <w:rPr>
                <w:rFonts w:ascii="仿宋_GB2312" w:hAnsi="宋体" w:eastAsia="仿宋_GB2312" w:cs="宋体"/>
                <w:bCs/>
                <w:kern w:val="0"/>
                <w:sz w:val="24"/>
              </w:rPr>
              <w:t>新建柴油发电机房1间，安装2台静音型柴油发电机组；新建专用储油间，配套防火、防爆、防渗漏、事故通风系统；对1号、3号低压开关柜进行改造，增设双电源配电柜及双电源自动切换装置，完成柜内母排加长、并联、加固及电气、机械联锁改造；敷设发电机至配电室阻燃电力电缆、屏蔽控制电缆，完善桥架/穿管铺设；建设发电机启动、信号、保护、联动控制系统，完善接地系统、消防配套及标识；完成系统单机调试、联动调试、带载试验及验收移交。</w:t>
            </w:r>
          </w:p>
          <w:p w14:paraId="21BAA71B">
            <w:pPr>
              <w:widowControl/>
              <w:numPr>
                <w:ilvl w:val="0"/>
                <w:numId w:val="1"/>
              </w:numPr>
              <w:spacing w:line="400" w:lineRule="exact"/>
              <w:jc w:val="left"/>
              <w:rPr>
                <w:rFonts w:hint="eastAsia" w:ascii="仿宋_GB2312" w:hAnsi="宋体" w:eastAsia="仿宋_GB2312" w:cs="宋体"/>
                <w:bCs/>
                <w:kern w:val="0"/>
                <w:sz w:val="24"/>
              </w:rPr>
            </w:pPr>
            <w:r>
              <w:rPr>
                <w:rFonts w:hint="eastAsia" w:ascii="仿宋_GB2312" w:hAnsi="宋体" w:eastAsia="仿宋_GB2312" w:cs="宋体"/>
                <w:bCs/>
                <w:kern w:val="0"/>
                <w:sz w:val="24"/>
              </w:rPr>
              <w:t>主要功能或目标</w:t>
            </w:r>
          </w:p>
          <w:p w14:paraId="37FDDC0D">
            <w:pPr>
              <w:widowControl/>
              <w:spacing w:line="400" w:lineRule="exact"/>
              <w:jc w:val="left"/>
              <w:rPr>
                <w:rFonts w:hint="eastAsia" w:ascii="仿宋_GB2312" w:hAnsi="宋体" w:eastAsia="仿宋_GB2312" w:cs="宋体"/>
                <w:bCs/>
                <w:kern w:val="0"/>
                <w:sz w:val="24"/>
              </w:rPr>
            </w:pPr>
            <w:r>
              <w:rPr>
                <w:rFonts w:ascii="仿宋_GB2312" w:hAnsi="宋体" w:eastAsia="仿宋_GB2312" w:cs="宋体"/>
                <w:bCs/>
                <w:kern w:val="0"/>
                <w:sz w:val="24"/>
              </w:rPr>
              <w:t>全面提升</w:t>
            </w:r>
            <w:r>
              <w:rPr>
                <w:rFonts w:hint="eastAsia" w:ascii="仿宋_GB2312" w:hAnsi="宋体" w:eastAsia="仿宋_GB2312" w:cs="宋体"/>
                <w:bCs/>
                <w:kern w:val="0"/>
                <w:sz w:val="24"/>
              </w:rPr>
              <w:t>西安</w:t>
            </w:r>
            <w:r>
              <w:rPr>
                <w:rFonts w:ascii="仿宋_GB2312" w:hAnsi="宋体" w:eastAsia="仿宋_GB2312" w:cs="宋体"/>
                <w:bCs/>
                <w:kern w:val="0"/>
                <w:sz w:val="24"/>
              </w:rPr>
              <w:t>曲江老年公寓应急供电保障能力，实现全区域双电源自动切换，满足养老机构一级负荷供电保障标准，确保消防、电梯、应急照明、生活供水、安防监控等核心设备不间断可靠供电，有效防范因停电引发的安全风险。</w:t>
            </w:r>
          </w:p>
          <w:p w14:paraId="4B21BF3C">
            <w:pPr>
              <w:widowControl/>
              <w:spacing w:line="400" w:lineRule="exact"/>
              <w:jc w:val="left"/>
              <w:rPr>
                <w:rFonts w:hint="eastAsia" w:ascii="仿宋_GB2312" w:hAnsi="宋体" w:eastAsia="仿宋_GB2312" w:cs="宋体"/>
                <w:bCs/>
                <w:kern w:val="0"/>
                <w:sz w:val="24"/>
              </w:rPr>
            </w:pPr>
            <w:r>
              <w:rPr>
                <w:rFonts w:hint="eastAsia" w:ascii="仿宋_GB2312" w:hAnsi="宋体" w:eastAsia="仿宋_GB2312" w:cs="宋体"/>
                <w:bCs/>
                <w:kern w:val="0"/>
                <w:sz w:val="24"/>
              </w:rPr>
              <w:t>三、需满足要求</w:t>
            </w:r>
          </w:p>
          <w:p w14:paraId="350078F4">
            <w:pPr>
              <w:widowControl/>
              <w:spacing w:line="400" w:lineRule="exact"/>
              <w:jc w:val="left"/>
              <w:rPr>
                <w:rFonts w:hint="eastAsia" w:ascii="仿宋_GB2312" w:hAnsi="宋体" w:eastAsia="仿宋_GB2312" w:cs="宋体"/>
                <w:bCs/>
                <w:kern w:val="0"/>
                <w:sz w:val="24"/>
                <w:highlight w:val="yellow"/>
              </w:rPr>
            </w:pPr>
            <w:r>
              <w:rPr>
                <w:rFonts w:ascii="仿宋_GB2312" w:hAnsi="宋体" w:eastAsia="仿宋_GB2312" w:cs="宋体"/>
                <w:bCs/>
                <w:kern w:val="0"/>
                <w:sz w:val="24"/>
              </w:rPr>
              <w:t>符合《陕西省民政厅关于开展全省养老机构供电双回路改造专项行动的通知》（陕民发〔2025〕68 号）、《西安市民政局 国网西安供电公司关于做好第一批养老机构电路安全和供电双回路改造准备工作的通知》（市民函〔2026〕20 号）要求，满足消防、应急管理及电力施工相关规范标准。</w:t>
            </w:r>
          </w:p>
        </w:tc>
        <w:tc>
          <w:tcPr>
            <w:tcW w:w="530" w:type="pct"/>
            <w:tcBorders>
              <w:tl2br w:val="nil"/>
              <w:tr2bl w:val="nil"/>
            </w:tcBorders>
            <w:vAlign w:val="center"/>
          </w:tcPr>
          <w:p w14:paraId="3CF009F1">
            <w:pPr>
              <w:widowControl/>
              <w:spacing w:line="400" w:lineRule="exact"/>
              <w:jc w:val="left"/>
              <w:rPr>
                <w:rFonts w:ascii="仿宋_GB2312" w:eastAsia="仿宋_GB2312"/>
                <w:bCs/>
                <w:sz w:val="28"/>
                <w:szCs w:val="28"/>
              </w:rPr>
            </w:pPr>
          </w:p>
        </w:tc>
      </w:tr>
    </w:tbl>
    <w:p w14:paraId="15927FFA">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DFEEB6A"/>
    <w:multiLevelType w:val="singleLevel"/>
    <w:tmpl w:val="2DFEEB6A"/>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286C2E"/>
    <w:rsid w:val="0CAB5003"/>
    <w:rsid w:val="10E62B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257</Words>
  <Characters>262</Characters>
  <Lines>0</Lines>
  <Paragraphs>0</Paragraphs>
  <TotalTime>0</TotalTime>
  <ScaleCrop>false</ScaleCrop>
  <LinksUpToDate>false</LinksUpToDate>
  <CharactersWithSpaces>265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2026-07-22T14:48:00Z</dcterms:created>
  <dc:creator>Administrator</dc:creator>
  <cp:lastModifiedBy>待-__-续</cp:lastModifiedBy>
  <dcterms:modified xsi:type="dcterms:W3CDTF">2026-08-05T11:47:39Z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eyJoZGlkIjoiMDZmNTBmOTU1YTg2NzQ2NGQ5MTJiYTkxZTdiMDkxNmYiLCJ1c2VySWQiOiI5ODgyMjY3NTcifQ==</vt:lpwstr>
  </property>
  <property fmtid="{D5CDD505-2E9C-101B-9397-08002B2CF9AE}" pid="4" name="ICV">
    <vt:lpwstr>33C6483DFDF0425DBE2545B22E5D2FDE_12</vt:lpwstr>
  </property>
</Properties>
</file>