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版本号：ZB2026-ZB017（CGQ）20260515002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临潼区人民医院污水运维管理</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ZB2026-ZB017（CGQ）</w:t>
      </w:r>
      <w:r>
        <w:br/>
      </w:r>
      <w:r>
        <w:br/>
      </w:r>
      <w:r>
        <w:br/>
      </w:r>
    </w:p>
    <w:p>
      <w:pPr>
        <w:pStyle w:val="null3"/>
        <w:jc w:val="center"/>
        <w:outlineLvl w:val="2"/>
      </w:pPr>
      <w:r>
        <w:rPr>
          <w:rFonts w:ascii="仿宋_GB2312" w:hAnsi="仿宋_GB2312" w:cs="仿宋_GB2312" w:eastAsia="仿宋_GB2312"/>
          <w:sz w:val="28"/>
          <w:b/>
        </w:rPr>
        <w:t>西安市临潼区人民医院</w:t>
      </w:r>
    </w:p>
    <w:p>
      <w:pPr>
        <w:pStyle w:val="null3"/>
        <w:jc w:val="center"/>
        <w:outlineLvl w:val="2"/>
      </w:pPr>
      <w:r>
        <w:rPr>
          <w:rFonts w:ascii="仿宋_GB2312" w:hAnsi="仿宋_GB2312" w:cs="仿宋_GB2312" w:eastAsia="仿宋_GB2312"/>
          <w:sz w:val="28"/>
          <w:b/>
        </w:rPr>
        <w:t>西安梓搏咨询管理有限公司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西安梓搏咨询管理有限公司</w:t>
      </w:r>
      <w:r>
        <w:rPr>
          <w:rFonts w:ascii="仿宋_GB2312" w:hAnsi="仿宋_GB2312" w:cs="仿宋_GB2312" w:eastAsia="仿宋_GB2312"/>
        </w:rPr>
        <w:t>（以下简称“代理机构”）受</w:t>
      </w:r>
      <w:r>
        <w:rPr>
          <w:rFonts w:ascii="仿宋_GB2312" w:hAnsi="仿宋_GB2312" w:cs="仿宋_GB2312" w:eastAsia="仿宋_GB2312"/>
        </w:rPr>
        <w:t>西安市临潼区人民医院</w:t>
      </w:r>
      <w:r>
        <w:rPr>
          <w:rFonts w:ascii="仿宋_GB2312" w:hAnsi="仿宋_GB2312" w:cs="仿宋_GB2312" w:eastAsia="仿宋_GB2312"/>
        </w:rPr>
        <w:t>委托，拟对</w:t>
      </w:r>
      <w:r>
        <w:rPr>
          <w:rFonts w:ascii="仿宋_GB2312" w:hAnsi="仿宋_GB2312" w:cs="仿宋_GB2312" w:eastAsia="仿宋_GB2312"/>
        </w:rPr>
        <w:t>临潼区人民医院污水运维管理</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ZB2026-ZB017（CGQ）</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临潼区人民医院污水运维管理</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临潼区人民医院污水运维管理，为了有效保证本医院污水处理站正常规范运行，对污水处理工作进行运维服务外包。</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采购包1（临潼区人民医院污水运维管理）：属于专门面向中小企业采购。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1、法定代表人身份证明书或法人授权委托书：法定代表人身份证明书或法人授权委托书，后附法人及被委托人身份证（法定代表人直接参加投标的，须提供法定代表人证明书）。</w:t>
      </w:r>
    </w:p>
    <w:p>
      <w:pPr>
        <w:pStyle w:val="null3"/>
      </w:pPr>
      <w:r>
        <w:rPr>
          <w:rFonts w:ascii="仿宋_GB2312" w:hAnsi="仿宋_GB2312" w:cs="仿宋_GB2312" w:eastAsia="仿宋_GB2312"/>
        </w:rPr>
        <w:t>2、资质要求：供应商须具备环保工程专业承包三级及以上资质，具有有效的安全生产许可证。</w:t>
      </w:r>
    </w:p>
    <w:p>
      <w:pPr>
        <w:pStyle w:val="null3"/>
      </w:pPr>
      <w:r>
        <w:rPr>
          <w:rFonts w:ascii="仿宋_GB2312" w:hAnsi="仿宋_GB2312" w:cs="仿宋_GB2312" w:eastAsia="仿宋_GB2312"/>
        </w:rPr>
        <w:t>3、供应商信誉要求：供应商需以书面形式提供规定格式的《基本资格条件承诺函》，并对承诺内容的真实性负责。未提供《基本资格条件承诺函》的，须提供以下网站查询结果截图，供应商不得为“信用中国”网站（www.creditchina.gov.cn）列入的失信被执行人（中国执行信息公开网http://zxgk.court.gov.cn）、重大税收违法失信主体，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4、无重大质量或安全事故的书面声明：参加政府采购活动前三年内，在经营活动中没有重大质量或安全事故的书面声明。</w:t>
      </w:r>
    </w:p>
    <w:p>
      <w:pPr>
        <w:pStyle w:val="null3"/>
      </w:pPr>
      <w:r>
        <w:rPr>
          <w:rFonts w:ascii="仿宋_GB2312" w:hAnsi="仿宋_GB2312" w:cs="仿宋_GB2312" w:eastAsia="仿宋_GB2312"/>
        </w:rPr>
        <w:t>5、供应商关联关系承诺书：单位负责人为同一人或者存在直接控股、管理关系的不同供应商，不得参加同一合同项下的投标活动。</w:t>
      </w:r>
    </w:p>
    <w:p>
      <w:pPr>
        <w:pStyle w:val="null3"/>
      </w:pPr>
      <w:r>
        <w:rPr>
          <w:rFonts w:ascii="仿宋_GB2312" w:hAnsi="仿宋_GB2312" w:cs="仿宋_GB2312" w:eastAsia="仿宋_GB2312"/>
        </w:rPr>
        <w:t>6、非联合体投标声明：本项目不接受联合体投标。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西安市临潼区人民医院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西安市临潼区西关正街2号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白静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029-83827516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西安梓搏咨询管理有限公司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西安市临潼区环城东路东环路小区4号楼101室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宋利利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029-83992983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西安市临潼区政府采购管理股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马明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029-83825758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供应商领取中标通知书时，代理服务费参照计价格【2002】1980号及发改价格【2011】534号文件规定标准计算；向“西安梓搏咨询管理有限公司”交纳。代理服务费不足伍仟元（5000.00元）按伍仟元（5000.00元）计取。户 名：西安梓搏咨询管理有限公司 开户行：工商银行西安临潼区支行 账 号：3700 1733 092 0000 1856</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西安市临潼区人民医院</w:t>
      </w:r>
      <w:r>
        <w:rPr>
          <w:rFonts w:ascii="仿宋_GB2312" w:hAnsi="仿宋_GB2312" w:cs="仿宋_GB2312" w:eastAsia="仿宋_GB2312"/>
        </w:rPr>
        <w:t>和</w:t>
      </w:r>
      <w:r>
        <w:rPr>
          <w:rFonts w:ascii="仿宋_GB2312" w:hAnsi="仿宋_GB2312" w:cs="仿宋_GB2312" w:eastAsia="仿宋_GB2312"/>
        </w:rPr>
        <w:t>西安梓搏咨询管理有限公司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西安市临潼区人民医院</w:t>
      </w:r>
      <w:r>
        <w:rPr>
          <w:rFonts w:ascii="仿宋_GB2312" w:hAnsi="仿宋_GB2312" w:cs="仿宋_GB2312" w:eastAsia="仿宋_GB2312"/>
        </w:rPr>
        <w:t>负责解释。除上述磋商文件内容，其他内容由</w:t>
      </w:r>
      <w:r>
        <w:rPr>
          <w:rFonts w:ascii="仿宋_GB2312" w:hAnsi="仿宋_GB2312" w:cs="仿宋_GB2312" w:eastAsia="仿宋_GB2312"/>
        </w:rPr>
        <w:t>西安梓搏咨询管理有限公司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西安市临潼区人民医院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西安梓搏咨询管理有限公司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在合同执行过程中需要服务商执行的相关服务标准和应当履行的相关义务，处理后水质指标达到《医疗机构水污染排放标准》（GB18466-2005）预处理标准。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西安梓搏咨询管理有限公司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西安梓搏咨询管理有限公司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西安梓搏咨询管理有限公司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联系人：宋利利</w:t>
      </w:r>
    </w:p>
    <w:p>
      <w:pPr>
        <w:pStyle w:val="null3"/>
      </w:pPr>
      <w:r>
        <w:rPr>
          <w:rFonts w:ascii="仿宋_GB2312" w:hAnsi="仿宋_GB2312" w:cs="仿宋_GB2312" w:eastAsia="仿宋_GB2312"/>
        </w:rPr>
        <w:t>联系电话：029-83992983</w:t>
      </w:r>
    </w:p>
    <w:p>
      <w:pPr>
        <w:pStyle w:val="null3"/>
      </w:pPr>
      <w:r>
        <w:rPr>
          <w:rFonts w:ascii="仿宋_GB2312" w:hAnsi="仿宋_GB2312" w:cs="仿宋_GB2312" w:eastAsia="仿宋_GB2312"/>
        </w:rPr>
        <w:t>地址：西安市临潼区环城东路东环路小区4号楼101室</w:t>
      </w:r>
    </w:p>
    <w:p>
      <w:pPr>
        <w:pStyle w:val="null3"/>
      </w:pPr>
      <w:r>
        <w:rPr>
          <w:rFonts w:ascii="仿宋_GB2312" w:hAnsi="仿宋_GB2312" w:cs="仿宋_GB2312" w:eastAsia="仿宋_GB2312"/>
        </w:rPr>
        <w:t>邮编：710600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临潼区人民医院污水运维管理，为了有效保证本医院污水处理站正常规范运行，对污水处理工作进行运维服务外包。</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临潼区人民医院污水运维</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标的名称：临潼区人民医院污水运维</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b/>
                <w:color w:val="000000"/>
              </w:rPr>
              <w:t>一、服务内容</w:t>
            </w:r>
          </w:p>
          <w:p>
            <w:pPr>
              <w:pStyle w:val="null3"/>
              <w:ind w:firstLine="480"/>
              <w:jc w:val="left"/>
            </w:pPr>
            <w:r>
              <w:rPr>
                <w:rFonts w:ascii="仿宋_GB2312" w:hAnsi="仿宋_GB2312" w:cs="仿宋_GB2312" w:eastAsia="仿宋_GB2312"/>
                <w:sz w:val="24"/>
                <w:b/>
                <w:color w:val="000000"/>
              </w:rPr>
              <w:t>★</w:t>
            </w:r>
            <w:r>
              <w:rPr>
                <w:rFonts w:ascii="仿宋_GB2312" w:hAnsi="仿宋_GB2312" w:cs="仿宋_GB2312" w:eastAsia="仿宋_GB2312"/>
                <w:sz w:val="24"/>
                <w:color w:val="000000"/>
              </w:rPr>
              <w:t>1、全院污水处理设施的运营</w:t>
            </w:r>
          </w:p>
          <w:p>
            <w:pPr>
              <w:pStyle w:val="null3"/>
              <w:ind w:firstLine="480"/>
              <w:jc w:val="left"/>
            </w:pPr>
            <w:r>
              <w:rPr>
                <w:rFonts w:ascii="仿宋_GB2312" w:hAnsi="仿宋_GB2312" w:cs="仿宋_GB2312" w:eastAsia="仿宋_GB2312"/>
                <w:sz w:val="24"/>
                <w:color w:val="000000"/>
              </w:rPr>
              <w:t>运营采取</w:t>
            </w:r>
            <w:r>
              <w:rPr>
                <w:rFonts w:ascii="仿宋_GB2312" w:hAnsi="仿宋_GB2312" w:cs="仿宋_GB2312" w:eastAsia="仿宋_GB2312"/>
                <w:sz w:val="24"/>
                <w:color w:val="000000"/>
              </w:rPr>
              <w:t>24小时工作制；保证运营24小时有操作值班人员；以保证污水站设备正常运行。</w:t>
            </w:r>
          </w:p>
          <w:p>
            <w:pPr>
              <w:pStyle w:val="null3"/>
              <w:ind w:firstLine="480"/>
              <w:jc w:val="left"/>
            </w:pPr>
            <w:r>
              <w:rPr>
                <w:rFonts w:ascii="仿宋_GB2312" w:hAnsi="仿宋_GB2312" w:cs="仿宋_GB2312" w:eastAsia="仿宋_GB2312"/>
                <w:sz w:val="24"/>
                <w:b/>
                <w:color w:val="000000"/>
              </w:rPr>
              <w:t>★</w:t>
            </w:r>
            <w:r>
              <w:rPr>
                <w:rFonts w:ascii="仿宋_GB2312" w:hAnsi="仿宋_GB2312" w:cs="仿宋_GB2312" w:eastAsia="仿宋_GB2312"/>
                <w:sz w:val="24"/>
                <w:color w:val="000000"/>
              </w:rPr>
              <w:t>2、全院污水处理设施管道的维护巡查</w:t>
            </w:r>
          </w:p>
          <w:p>
            <w:pPr>
              <w:pStyle w:val="null3"/>
              <w:ind w:firstLine="480"/>
              <w:jc w:val="left"/>
            </w:pPr>
            <w:r>
              <w:rPr>
                <w:rFonts w:ascii="仿宋_GB2312" w:hAnsi="仿宋_GB2312" w:cs="仿宋_GB2312" w:eastAsia="仿宋_GB2312"/>
                <w:sz w:val="24"/>
                <w:color w:val="000000"/>
              </w:rPr>
              <w:t>定期委派技术人员对污水管道进行维护及巡查服务。</w:t>
            </w:r>
          </w:p>
          <w:p>
            <w:pPr>
              <w:pStyle w:val="null3"/>
              <w:ind w:firstLine="480"/>
              <w:jc w:val="left"/>
            </w:pPr>
            <w:r>
              <w:rPr>
                <w:rFonts w:ascii="仿宋_GB2312" w:hAnsi="仿宋_GB2312" w:cs="仿宋_GB2312" w:eastAsia="仿宋_GB2312"/>
                <w:sz w:val="24"/>
                <w:b/>
                <w:color w:val="000000"/>
              </w:rPr>
              <w:t>★</w:t>
            </w:r>
            <w:r>
              <w:rPr>
                <w:rFonts w:ascii="仿宋_GB2312" w:hAnsi="仿宋_GB2312" w:cs="仿宋_GB2312" w:eastAsia="仿宋_GB2312"/>
                <w:sz w:val="24"/>
                <w:color w:val="000000"/>
              </w:rPr>
              <w:t>3、全院污水处理设施及设备的维修及保养</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1）对运营过程中出现的故障安排专人及时进行维修；</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2）对污水处理设施设备制定保养计划；安排专人进行检修保养。</w:t>
            </w:r>
          </w:p>
          <w:p>
            <w:pPr>
              <w:pStyle w:val="null3"/>
              <w:ind w:firstLine="480"/>
              <w:jc w:val="left"/>
            </w:pPr>
            <w:r>
              <w:rPr>
                <w:rFonts w:ascii="仿宋_GB2312" w:hAnsi="仿宋_GB2312" w:cs="仿宋_GB2312" w:eastAsia="仿宋_GB2312"/>
                <w:sz w:val="24"/>
                <w:color w:val="000000"/>
              </w:rPr>
              <w:t>4、全院污水处理系统运营管理技术服务</w:t>
            </w:r>
          </w:p>
          <w:p>
            <w:pPr>
              <w:pStyle w:val="null3"/>
              <w:ind w:firstLine="480"/>
              <w:jc w:val="left"/>
            </w:pPr>
            <w:r>
              <w:rPr>
                <w:rFonts w:ascii="仿宋_GB2312" w:hAnsi="仿宋_GB2312" w:cs="仿宋_GB2312" w:eastAsia="仿宋_GB2312"/>
                <w:sz w:val="24"/>
                <w:color w:val="000000"/>
              </w:rPr>
              <w:t>定期安排技术人员对污水站进行全面巡查及技术指导；及时调整运营方案确保污水站正常运行及达标排放等（每周不低于一次）。</w:t>
            </w:r>
          </w:p>
          <w:p>
            <w:pPr>
              <w:pStyle w:val="null3"/>
              <w:ind w:firstLine="480"/>
              <w:jc w:val="left"/>
            </w:pPr>
            <w:r>
              <w:rPr>
                <w:rFonts w:ascii="仿宋_GB2312" w:hAnsi="仿宋_GB2312" w:cs="仿宋_GB2312" w:eastAsia="仿宋_GB2312"/>
                <w:sz w:val="24"/>
                <w:color w:val="000000"/>
              </w:rPr>
              <w:t>5、药剂采买储存使用服务</w:t>
            </w:r>
          </w:p>
          <w:p>
            <w:pPr>
              <w:pStyle w:val="null3"/>
              <w:ind w:firstLine="480"/>
              <w:jc w:val="left"/>
            </w:pPr>
            <w:r>
              <w:rPr>
                <w:rFonts w:ascii="仿宋_GB2312" w:hAnsi="仿宋_GB2312" w:cs="仿宋_GB2312" w:eastAsia="仿宋_GB2312"/>
                <w:sz w:val="24"/>
                <w:color w:val="000000"/>
              </w:rPr>
              <w:t>全院污水处理设施所需要的全部药剂</w:t>
            </w:r>
          </w:p>
          <w:p>
            <w:pPr>
              <w:pStyle w:val="null3"/>
              <w:ind w:firstLine="480"/>
              <w:jc w:val="left"/>
            </w:pPr>
            <w:r>
              <w:rPr>
                <w:rFonts w:ascii="仿宋_GB2312" w:hAnsi="仿宋_GB2312" w:cs="仿宋_GB2312" w:eastAsia="仿宋_GB2312"/>
                <w:sz w:val="24"/>
                <w:color w:val="000000"/>
              </w:rPr>
              <w:t>6、排污许可所要求的所有监测及数据填报</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4"/>
                <w:b/>
                <w:color w:val="000000"/>
              </w:rPr>
              <w:t>二、</w:t>
            </w:r>
            <w:r>
              <w:rPr>
                <w:rFonts w:ascii="仿宋_GB2312" w:hAnsi="仿宋_GB2312" w:cs="仿宋_GB2312" w:eastAsia="仿宋_GB2312"/>
                <w:sz w:val="24"/>
                <w:b/>
                <w:color w:val="000000"/>
              </w:rPr>
              <w:t>技术要求</w:t>
            </w:r>
          </w:p>
          <w:p>
            <w:pPr>
              <w:pStyle w:val="null3"/>
              <w:ind w:firstLine="480"/>
              <w:jc w:val="left"/>
            </w:pPr>
            <w:r>
              <w:rPr>
                <w:rFonts w:ascii="仿宋_GB2312" w:hAnsi="仿宋_GB2312" w:cs="仿宋_GB2312" w:eastAsia="仿宋_GB2312"/>
                <w:sz w:val="24"/>
                <w:color w:val="000000"/>
              </w:rPr>
              <w:t>1、保障医院闭环管理正常运行。</w:t>
            </w:r>
          </w:p>
          <w:p>
            <w:pPr>
              <w:pStyle w:val="null3"/>
              <w:ind w:firstLine="480"/>
              <w:jc w:val="left"/>
            </w:pPr>
            <w:r>
              <w:rPr>
                <w:rFonts w:ascii="仿宋_GB2312" w:hAnsi="仿宋_GB2312" w:cs="仿宋_GB2312" w:eastAsia="仿宋_GB2312"/>
                <w:sz w:val="24"/>
                <w:color w:val="000000"/>
              </w:rPr>
              <w:t>2、闭环管理工作区必须配置24小时值班，其他岗位运维工作人员数量由服务商（乙方）根据医院（甲方）保障工作的实际需要自行配置人员数量。</w:t>
            </w:r>
          </w:p>
          <w:p>
            <w:pPr>
              <w:pStyle w:val="null3"/>
              <w:ind w:firstLine="480"/>
              <w:jc w:val="left"/>
            </w:pPr>
            <w:r>
              <w:rPr>
                <w:rFonts w:ascii="仿宋_GB2312" w:hAnsi="仿宋_GB2312" w:cs="仿宋_GB2312" w:eastAsia="仿宋_GB2312"/>
                <w:sz w:val="24"/>
                <w:color w:val="000000"/>
              </w:rPr>
              <w:t>3、故障响应时间≤1.5 小时，一般故障 24 小时内修复，重大故障 72 小时内处置完毕。</w:t>
            </w:r>
          </w:p>
          <w:p>
            <w:pPr>
              <w:pStyle w:val="null3"/>
              <w:ind w:firstLine="480"/>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安全运行零事故，无人员伤亡、无设备重大损坏、无环境次生污染。</w:t>
            </w:r>
          </w:p>
          <w:p>
            <w:pPr>
              <w:pStyle w:val="null3"/>
              <w:ind w:firstLine="480"/>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药剂、水电、污泥处置规范合规，运行成本可控、节能降耗。</w:t>
            </w:r>
          </w:p>
          <w:p>
            <w:pPr>
              <w:pStyle w:val="null3"/>
              <w:ind w:firstLine="480"/>
              <w:jc w:val="left"/>
            </w:pP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sz w:val="24"/>
                <w:b/>
                <w:color w:val="000000"/>
              </w:rPr>
              <w:t>三、</w:t>
            </w:r>
            <w:r>
              <w:rPr>
                <w:rFonts w:ascii="仿宋_GB2312" w:hAnsi="仿宋_GB2312" w:cs="仿宋_GB2312" w:eastAsia="仿宋_GB2312"/>
                <w:sz w:val="24"/>
                <w:b/>
                <w:color w:val="000000"/>
              </w:rPr>
              <w:t>服务要求</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对</w:t>
            </w:r>
            <w:r>
              <w:rPr>
                <w:rFonts w:ascii="仿宋_GB2312" w:hAnsi="仿宋_GB2312" w:cs="仿宋_GB2312" w:eastAsia="仿宋_GB2312"/>
                <w:sz w:val="24"/>
                <w:color w:val="000000"/>
              </w:rPr>
              <w:t>“服务范围及服务内容”条款中所列项目内容进行人员管理、系统运行管理、系统检查和系统维护保养管理、系统维修服务管理，确保正常运行，做好各项节能工作，并满足采购人使用要求。</w:t>
            </w:r>
          </w:p>
          <w:p>
            <w:pPr>
              <w:pStyle w:val="null3"/>
              <w:ind w:firstLine="480"/>
              <w:jc w:val="left"/>
            </w:pPr>
            <w:r>
              <w:rPr>
                <w:rFonts w:ascii="仿宋_GB2312" w:hAnsi="仿宋_GB2312" w:cs="仿宋_GB2312" w:eastAsia="仿宋_GB2312"/>
                <w:sz w:val="24"/>
                <w:color w:val="000000"/>
              </w:rPr>
              <w:t>2、在合同执行过程中需要服务商应执行的相关服务标准和应当履行的相关义务，处理后水质指标达到《医疗机构水污染排放标准》（GB18466-2005）预处理标准。</w:t>
            </w:r>
          </w:p>
          <w:p>
            <w:pPr>
              <w:pStyle w:val="null3"/>
              <w:ind w:firstLine="480"/>
              <w:jc w:val="left"/>
            </w:pPr>
            <w:r>
              <w:rPr>
                <w:rFonts w:ascii="仿宋_GB2312" w:hAnsi="仿宋_GB2312" w:cs="仿宋_GB2312" w:eastAsia="仿宋_GB2312"/>
                <w:sz w:val="24"/>
                <w:color w:val="000000"/>
              </w:rPr>
              <w:t>3、总体要求</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全院运维保养维修工作时所需工具、防护用品均自行配置。</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全院污水处理消毒用药剂及试剂自行负责采购，</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医院（甲方）提供办公、住宿，不提供餐饮。</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w:t>
            </w:r>
            <w:r>
              <w:rPr>
                <w:rFonts w:ascii="仿宋_GB2312" w:hAnsi="仿宋_GB2312" w:cs="仿宋_GB2312" w:eastAsia="仿宋_GB2312"/>
                <w:sz w:val="24"/>
                <w:color w:val="000000"/>
              </w:rPr>
              <w:t>）</w:t>
            </w:r>
            <w:r>
              <w:rPr>
                <w:rFonts w:ascii="仿宋_GB2312" w:hAnsi="仿宋_GB2312" w:cs="仿宋_GB2312" w:eastAsia="仿宋_GB2312"/>
                <w:sz w:val="24"/>
                <w:color w:val="000000"/>
              </w:rPr>
              <w:t>医院（甲方）不提供工作服。</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r>
              <w:rPr>
                <w:rFonts w:ascii="仿宋_GB2312" w:hAnsi="仿宋_GB2312" w:cs="仿宋_GB2312" w:eastAsia="仿宋_GB2312"/>
                <w:sz w:val="24"/>
                <w:color w:val="000000"/>
              </w:rPr>
              <w:t>服务商在保证完成本职工作的前提下，必须无偿配合医院完成其他临时性工作。（例如：悬挂安全标志、设备移位、家具搬运等）。</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6</w:t>
            </w:r>
            <w:r>
              <w:rPr>
                <w:rFonts w:ascii="仿宋_GB2312" w:hAnsi="仿宋_GB2312" w:cs="仿宋_GB2312" w:eastAsia="仿宋_GB2312"/>
                <w:sz w:val="24"/>
                <w:color w:val="000000"/>
              </w:rPr>
              <w:t>）</w:t>
            </w:r>
            <w:r>
              <w:rPr>
                <w:rFonts w:ascii="仿宋_GB2312" w:hAnsi="仿宋_GB2312" w:cs="仿宋_GB2312" w:eastAsia="仿宋_GB2312"/>
                <w:sz w:val="24"/>
                <w:color w:val="000000"/>
              </w:rPr>
              <w:t>污水站配套设备未超过保修期由厂家负责，已超过保修期由服务商根据故障的实际情况进行维修，配件超过</w:t>
            </w:r>
            <w:r>
              <w:rPr>
                <w:rFonts w:ascii="仿宋_GB2312" w:hAnsi="仿宋_GB2312" w:cs="仿宋_GB2312" w:eastAsia="仿宋_GB2312"/>
                <w:sz w:val="24"/>
                <w:color w:val="000000"/>
              </w:rPr>
              <w:t>2000元由医院（甲方）负责采购，配件未超过2000元由服务商（乙方）自行负责采购，服务商（乙方）无偿维修。包含维保期间的消毒粉采购保存及添加，并按照甲方排污许可证要求进质监测并上报所有数据（包含大气监测）。</w:t>
            </w:r>
          </w:p>
          <w:p>
            <w:pPr>
              <w:pStyle w:val="null3"/>
              <w:ind w:firstLine="480"/>
              <w:jc w:val="left"/>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闭环管理工作区必须配置24小时值班，其他岗位运维工作人员数量由服务商（乙方）根据医院（甲方）保障工作的实际需要自行配置人员数量。</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满足项目需求，自行配置。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1、现场管理标准：站区整洁、无异味、无积水、无杂物、标识清晰、防护齐全。 2、资料标准：运行记录、维保记录、检测报告、维修台账、安全台账按月整理归档。</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西安市临潼区人民医院</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处理后水质指标达到《医疗机构水污染排放标准》（GB18466-2005）预处理标准。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每月对服务单位进行考核，考核合格后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每月对服务单位进行考核，考核合格后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每月对服务单位进行考核，考核合格后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每月对服务单位进行考核，考核合格后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每月对服务单位进行考核，考核合格后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每月对服务单位进行考核，考核合格后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每月对服务单位进行考核，考核合格后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每月对服务单位进行考核，考核合格后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每月对服务单位进行考核，考核合格后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每月对服务单位进行考核，考核合格后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每月对服务单位进行考核，考核合格后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每月对服务单位进行考核，考核合格后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8.37</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依据《中华人民共和国民法典》、《中华人民共和国政府采购法》的相关条款和合同约定，合同执行中发生争议的，当事人双方应协商解决，协商达不成一致时，可向人民法院提请诉讼。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1、投标总报价为完成本项目开始至服务期结束的所有费用，包含乙方提供服务、消毒、絮凝等产品所发生的一切税（包括增值税）费、人员成本（含劳动保险、福利、加班、体检等）、 药剂费、劳保用品及办公用品费、设施设备维修保养及更换费（免费更换污水站内2000元以下设施、设备及配件）、设备校准费、保险费、利润、办理相关手续费等均已包含于合同价款中。 2、本项目采购标的所属行业为：其他未列明行业。（按照《工信部联企业》〔2011〕300号 中小企业划型标准规定：从业人员300人以下的为中小微型企业。其中，从业人员100人及以上的为中型企业；从业人员10人及以上的为小型企业；从业人员10人以下的为微型企业。3、甲方每月不定期、不定时的对乙方进行考核，满分为100分，考核结果低于80分基为不及格。（1）乙方考核结果如低于80分，甲方根据考核结果双方签字确认后，对乙方按照百分之一的比例乘以月付款金额，在当月付款金额中扣除。（2）如乙方发生安全责任事故、人员责任事故，甲方对乙方按照百分之十的比例乘以月付款金额，在当月付款金额中扣除，考核表详见合同附件。 4、供应商应对其承诺内容的真实性、合法性、有效性负责如作出虚假承诺，视同“提供虚假材料谋取中标、成交”的违法行为。经调查核实后，按照《中华人民共和国政府采购法》第七十七条，处以采购金额千分之五以上千分之十以下的罚款列入不良行为记录名单，在一至三年内禁止参加政府采购活动，有违法所得的，并处没收违法所得，情节严重的，由市场监管部门吊销营业执照;构成犯罪的，依法追究刑事责任。5、供应商需要在线提交所有通过电子化交易平台实施的政府采购项目的响应文件，同时，线下递交纸质响应文件，正本壹份、副本壹份，电子文档壹份（U盘存储，内容包括与系统上传后导出完全一致的PDF版响应文件）。所有纸质文件封面须加盖供应商公章鲜章，U盘标明供应商名称后随正本密封。若线上电子响应文件与纸质响应文件不一致以电子响应文件为准;若正本和副本不一致，以正本为准。 线下递交时间同线上响应文件递交截止时间;线下递交文件地点:西安市临潼区环城东路东环路小区4号楼101室。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营业执照：供应商应是合法注册的法人或其他组织，并出具合法有效的营业执照;（2）税收和社保证明：提供基本资格条件承诺函或投标截止时间前6个月内任意一个月的依法缴纳的税收和社保证明（社会保障资金缴存单据或社保机构开具的社会保险参保缴费情况证明）；依法免税或不需要缴纳社会保障资金的应提供相关证明材料；（3）无重大违法记录的书面声明：提供基本资格条件承诺函或参加政府采购活动前三年内，在经营活动中没有重大违法记录的书面声明；（4）履行合同能力的承诺书：提供基本资格条件承诺函或履行合同所必需的设备和专业技术能力的承诺书；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会计制度的证明材料，满足以下任意一项即可：①基本资格条件承诺函；②2024年/2025年经审计的完整财务审计报告（成立时间至开标时间不足一年的，可提供成立后任意时段的资产负债表）；③投标截止时间前六个月内其基本账户银行出具的资信证明；④可提供政府采购信用担保机构出具的担保函。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法定代表人身份证明书或法人授权委托书</w:t>
            </w:r>
          </w:p>
        </w:tc>
        <w:tc>
          <w:tcPr>
            <w:tcW w:type="dxa" w:w="3322"/>
          </w:tcPr>
          <w:p>
            <w:pPr>
              <w:pStyle w:val="null3"/>
            </w:pPr>
            <w:r>
              <w:rPr>
                <w:rFonts w:ascii="仿宋_GB2312" w:hAnsi="仿宋_GB2312" w:cs="仿宋_GB2312" w:eastAsia="仿宋_GB2312"/>
              </w:rPr>
              <w:t>法定代表人身份证明书或法人授权委托书，后附法人及被委托人身份证（法定代表人直接参加投标的，须提供法定代表人证明书）。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供应商须具备环保工程专业承包三级及以上资质，具有有效的安全生产许可证。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供应商信誉要求</w:t>
            </w:r>
          </w:p>
        </w:tc>
        <w:tc>
          <w:tcPr>
            <w:tcW w:type="dxa" w:w="3322"/>
          </w:tcPr>
          <w:p>
            <w:pPr>
              <w:pStyle w:val="null3"/>
            </w:pPr>
            <w:r>
              <w:rPr>
                <w:rFonts w:ascii="仿宋_GB2312" w:hAnsi="仿宋_GB2312" w:cs="仿宋_GB2312" w:eastAsia="仿宋_GB2312"/>
              </w:rPr>
              <w:t>供应商需以书面形式提供规定格式的《基本资格条件承诺函》，并对承诺内容的真实性负责。未提供《基本资格条件承诺函》的，须提供以下网站查询结果截图，供应商不得为“信用中国”网站（www.creditchina.gov.cn）列入的失信被执行人（中国执行信息公开网http://zxgk.court.gov.cn）、重大税收违法失信主体，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无重大质量或安全事故的书面声明</w:t>
            </w:r>
          </w:p>
        </w:tc>
        <w:tc>
          <w:tcPr>
            <w:tcW w:type="dxa" w:w="3322"/>
          </w:tcPr>
          <w:p>
            <w:pPr>
              <w:pStyle w:val="null3"/>
            </w:pPr>
            <w:r>
              <w:rPr>
                <w:rFonts w:ascii="仿宋_GB2312" w:hAnsi="仿宋_GB2312" w:cs="仿宋_GB2312" w:eastAsia="仿宋_GB2312"/>
              </w:rPr>
              <w:t>参加政府采购活动前三年内，在经营活动中没有重大质量或安全事故的书面声明。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供应商关联关系承诺书</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单位负责人为同一人或者存在直接控股、管理关系的不同供应商，不得参加同一合同项下的投标活动。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非联合体投标声明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磋商响应文件签字盖章</w:t>
            </w:r>
          </w:p>
        </w:tc>
        <w:tc>
          <w:tcPr>
            <w:tcW w:type="dxa" w:w="3322"/>
          </w:tcPr>
          <w:p>
            <w:pPr>
              <w:pStyle w:val="null3"/>
            </w:pPr>
            <w:r>
              <w:rPr>
                <w:rFonts w:ascii="仿宋_GB2312" w:hAnsi="仿宋_GB2312" w:cs="仿宋_GB2312" w:eastAsia="仿宋_GB2312"/>
              </w:rPr>
              <w:t>满足磋商文件格式要求。</w:t>
            </w:r>
          </w:p>
        </w:tc>
        <w:tc>
          <w:tcPr>
            <w:tcW w:type="dxa" w:w="1661"/>
          </w:tcPr>
          <w:p>
            <w:pPr>
              <w:pStyle w:val="null3"/>
            </w:pPr>
            <w:r>
              <w:rPr>
                <w:rFonts w:ascii="仿宋_GB2312" w:hAnsi="仿宋_GB2312" w:cs="仿宋_GB2312" w:eastAsia="仿宋_GB2312"/>
              </w:rPr>
              <w:t>中小企业声明函 商务应答表 服务内容及服务要求应答表 供应商应提交的相关资格证明材料 报价表 业绩一览表 响应文件封面 残疾人福利性单位声明函 服务方案 标的清单 供应商承诺书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中小企业声明函 商务应答表 服务内容及服务要求应答表 供应商应提交的相关资格证明材料 报价表 业绩一览表 响应文件封面 残疾人福利性单位声明函 服务方案 标的清单 供应商承诺书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按磋商文件要求提交投标报价，不得提交有选择的投标报价，且每轮报价不超过采购预算金额或最高限价。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满足磋商文件中要求的服务期限。</w:t>
            </w:r>
          </w:p>
        </w:tc>
        <w:tc>
          <w:tcPr>
            <w:tcW w:type="dxa" w:w="1661"/>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总体运维服务方案</w:t>
            </w:r>
          </w:p>
        </w:tc>
        <w:tc>
          <w:tcPr>
            <w:tcW w:type="dxa" w:w="2492"/>
          </w:tcPr>
          <w:p>
            <w:pPr>
              <w:pStyle w:val="null3"/>
            </w:pPr>
            <w:r>
              <w:rPr>
                <w:rFonts w:ascii="仿宋_GB2312" w:hAnsi="仿宋_GB2312" w:cs="仿宋_GB2312" w:eastAsia="仿宋_GB2312"/>
              </w:rPr>
              <w:t>一、评审内容：供应商针对本项目提供服务方案，内容包含但不限于（1）项目总体运营服务方案；（2）污水站运行维护主要管理制度；（3）药剂配比和药品安全存储制度；（4）污水站各设备操作规程；（5）设备操作维护保养与检修；（6）常见故障分析及排除方法。 二、评审标准：1、完善性：方案必须全面，对评审内容中的各项要求有详细阐述； 2、可实施性：切合本项目实际情况，提出步骤清晰、合理的方案； 3、针对性：方案能够紧扣项目实际情况，内容科学合理。 三、赋分标准（18分）： （1）项目总体运营服务方案：每满足一项评审标准得1分，满分3分；方案每存在一处不合理扣0.5分，扣完为止；缺项或与项目实质性内容不符得0分； （2）污水站运行维护主要管理制度：每满足一项评审标准得1分，满分3分；方案每存在一处不合理扣0.5分，扣完为止；缺项或与项目实质性内容不符得0分； （3）药剂配比和药品安全存储制度：每满足一项评审标准得1分，满分3分；方案每存在一处不合理扣0.5分，扣完为止；缺项或与项目实质性内容不符得0分； （4）污水站各设备操作规程：每满足一项评审标准得1分，满分3分；方案每存在一处不合理扣0.5分，扣完为止；缺项或与项目实质性内容不符得0分； （5）设备操作维护保养与检修：每满足一项评审标准得1分，满分3分；方案每存在一处不合理扣0.5分，扣完为止；缺项或与项目实质性内容不符得0分； （6）常见故障分析及排除方法：每满足一项评审标准得1分，满分3分；方案每存在一处不合理扣0.5分，扣完为止；缺项或与项目实质性内容不符得0分。 备注:“不合理”指内容存在错误、表述不完善、缺少次要关键点或不完全贴合本项目特征等情形。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日常运维服务方案</w:t>
            </w:r>
          </w:p>
        </w:tc>
        <w:tc>
          <w:tcPr>
            <w:tcW w:type="dxa" w:w="2492"/>
          </w:tcPr>
          <w:p>
            <w:pPr>
              <w:pStyle w:val="null3"/>
            </w:pPr>
            <w:r>
              <w:rPr>
                <w:rFonts w:ascii="仿宋_GB2312" w:hAnsi="仿宋_GB2312" w:cs="仿宋_GB2312" w:eastAsia="仿宋_GB2312"/>
              </w:rPr>
              <w:t>一、供应商针对本项目提供设备设施维修、维护及保养方案。包含（1）服务内容；（2）日常维护工作；（3）故障排除；（4）例行巡检；（5）定期检修维护。 二、评审标准：1、完善性：方案必须全面，对评审内容中的各项要求有详细阐述； 2、可实施性：切合本项目实际情况，提出步骤清晰、合理的方案； 3、针对性：方案能够紧扣项目实际情况，内容科学合理。 三、赋分标准（15分）： （1）服务内容：每满足一项评审标准得1分，满分3分；方案每存在一处不合理扣0.5分，扣完为止；缺项或与项目实质性内容不符得0分； （2）日常维护工作：每满足一项评审标准得1分，满分3分；方案每存在一处不合理扣0.5分，扣完为止；缺项或与项目实质性内容不符得0分； （3）故障排除：每满足一项评审标准得1分，满分3分；方案每存在一处不合理扣0.5分，扣完为止；缺项或与项目实质性内容不符得0分； （4）例行巡检：每满足一项评审标准得1分，满分3分；方案每存在一处不合理扣0.5分，扣完为止；缺项或与项目实质性内容不符得0分； （5）定期检修维护：每满足一项评审标准得1分，满分3分；方案每存在一处不合理扣0.5分，扣完为止；缺项或与项目实质性内容不符得0分。 备注:“不合理”指内容存在错误、表述不完善、缺少次要关键点或不完全贴合本项目特征等情形。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拟派项目负责人具有环保类高级及以上职称得5分，具有环保类中级职称得3分，其他情况不得分。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服务团队配备情况</w:t>
            </w:r>
          </w:p>
        </w:tc>
        <w:tc>
          <w:tcPr>
            <w:tcW w:type="dxa" w:w="2492"/>
          </w:tcPr>
          <w:p>
            <w:pPr>
              <w:pStyle w:val="null3"/>
            </w:pPr>
            <w:r>
              <w:rPr>
                <w:rFonts w:ascii="仿宋_GB2312" w:hAnsi="仿宋_GB2312" w:cs="仿宋_GB2312" w:eastAsia="仿宋_GB2312"/>
              </w:rPr>
              <w:t>一、评审内容:供应商根据本项目提供人员配备方案。内容包括（1）专业服务团队配置（污水处理人员、设备维修人员、水质检测人员、安全员、质量员）；（2）人员组织结构与岗位职责；（3）人员培训与考核机制。二、评审标准：1、完善性：方案必须全面，对评审内容中的各项要求有详细阐述； 2、可实施性：切合本项目实际情况，提出步骤清晰、合理的方案； 3、针对性：方案能够紧扣项目实际情况，内容科学合理。 三、赋分标准（9分）： （1）专业服务团队配置（污水处理人员、设备维修人员、水质检测人员、安全员、质量员）：每满足一项评审标准得1分，满分3分；方案每存在一处不合理扣0.5分，扣完为止；缺项或与项目实质性内容不符得0分。 （2）人员组织结构与岗位职责：每满足一项评审标准得1分，满分3分；方案每存在一处不合理扣0.5分，扣完为止；缺项或与项目实质性内容不符得0分。 （3）人员培训与考核机制：每满足一项评审标准得1分，满分3分；方案每存在一处不合理扣0.5分，扣完为止；缺项或与项目实质性内容不符得0分。备注:“不合理”指内容存在错误、表述不完善、缺少次要关键点或不完全贴合本项目特征等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服务质量保障措施</w:t>
            </w:r>
          </w:p>
        </w:tc>
        <w:tc>
          <w:tcPr>
            <w:tcW w:type="dxa" w:w="2492"/>
          </w:tcPr>
          <w:p>
            <w:pPr>
              <w:pStyle w:val="null3"/>
            </w:pPr>
            <w:r>
              <w:rPr>
                <w:rFonts w:ascii="仿宋_GB2312" w:hAnsi="仿宋_GB2312" w:cs="仿宋_GB2312" w:eastAsia="仿宋_GB2312"/>
              </w:rPr>
              <w:t>一、评审内容：根据供应商针对本项目有完整的服务质量保障措施，内容包括（1）服务质量保障体系；（2）技术组织保障措施；（3）排放标准到达国家相关要求。 二、评审标准：1、完善性：方案必须全面，对评审内容中的各项要求有详细阐述； 2、可实施性：切合本项目实际情况，提出步骤清晰、合理的方案； 3、针对性：方案能够紧扣项目实际情况，内容科学合理。三、赋分标准（9分）： （1）服务质量保障体系：每满足一项评审标准得1分，满分3分；方案每存在一处不合理扣0.5分，扣完为止；缺项或与项目实质性内容不符得0分。 （2）技术组织保障措施：每满足一项评审标准得1分，满分3分；方案每存在一处不合理扣0.5分，扣完为止；缺项或与项目实质性内容不符得0分。 （3）排放标准到达国家相关要求：每满足一项评审标准得1分，满分3分；方案每存在一处不合理扣0.5分，扣完为止；缺项或与项目实质性内容不符得0分。 备注:“不合理”指内容存在错误、表述不完善、缺少次要关键点或不完全贴合本项目特征等情形。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安全生产保障措施</w:t>
            </w:r>
          </w:p>
        </w:tc>
        <w:tc>
          <w:tcPr>
            <w:tcW w:type="dxa" w:w="2492"/>
          </w:tcPr>
          <w:p>
            <w:pPr>
              <w:pStyle w:val="null3"/>
            </w:pPr>
            <w:r>
              <w:rPr>
                <w:rFonts w:ascii="仿宋_GB2312" w:hAnsi="仿宋_GB2312" w:cs="仿宋_GB2312" w:eastAsia="仿宋_GB2312"/>
              </w:rPr>
              <w:t>一、评审内容：根据供应商针对本项目有完整的安全生产保障措施，内容包含（1）安全生产管理制度；（2）药剂使用安全保障；（3）保障运维服务的稳定和安全。二、评审标准：1、完善性：方案必须全面，对评审内容中的各项要求有详细阐述； 2、可实施性：切合本项目实际情况，提出步骤清晰、合理的方案； 3、针对性：方案能够紧扣项目实际情况，内容科学合理。 三、赋分标准（9分）： （1）安全生产管理制度：每满足一项评审标准得1分，满分3分；方案每存在一处不合理扣0.5分，扣完为止；缺项或与项目实质性内容不符得0分。 （2）药剂使用安全保障：每满足一项评审标准得1分，满分3分；方案每存在一处不合理扣0.5分，扣完为止；缺项或与项目实质性内容不符得0分。 （3）保障运维服务的稳定和安全：每满足一项评审标准得1分，满分3分；方案每存在一处不合理扣0.5分，扣完为止；缺项或与项目实质性内容不符得0分。 备注:“不合理”指内容存在错误、表述不完善、缺少次要关键点或不完全贴合本项目特征等情形。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档案管理方案</w:t>
            </w:r>
          </w:p>
        </w:tc>
        <w:tc>
          <w:tcPr>
            <w:tcW w:type="dxa" w:w="2492"/>
          </w:tcPr>
          <w:p>
            <w:pPr>
              <w:pStyle w:val="null3"/>
            </w:pPr>
            <w:r>
              <w:rPr>
                <w:rFonts w:ascii="仿宋_GB2312" w:hAnsi="仿宋_GB2312" w:cs="仿宋_GB2312" w:eastAsia="仿宋_GB2312"/>
              </w:rPr>
              <w:t>一、评审内容：建立完善的运维管理档案，内容包含（1）设备运行记录；（2）水质监测报告；（3）维修保养记录。二、评审标准：1、完善性：方案必须全面，对评审内容中的各项要求有详细阐述； 2、可实施性：切合本项目实际情况，提出步骤清晰、合理的方案； 3、针对性：方案能够紧扣项目实际情况，内容科学合理。 三、赋分标准（9分）： （1）设备运行记录：每满足一项评审标准得1分，满分3分；方案每存在一处不合理扣0.5分，扣完为止；缺项或与项目实质性内容不符得0分。 （2）水质监测报告：每满足一项评审标准得1分，满分3分；方案每存在一处不合理扣0.5分，扣完为止；缺项或与项目实质性内容不符得0分。 （3）维修保养记录：每满足一项评审标准得1分，满分3分；方案每存在一处不合理扣0.5分，扣完为止；缺项或与项目实质性内容不符得0分。 备注:“不合理”指内容存在错误、表述不完善、缺少次要关键点或不完全贴合本项目特征等情形。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应急预案及突发事件应急保障措施</w:t>
            </w:r>
          </w:p>
        </w:tc>
        <w:tc>
          <w:tcPr>
            <w:tcW w:type="dxa" w:w="2492"/>
          </w:tcPr>
          <w:p>
            <w:pPr>
              <w:pStyle w:val="null3"/>
            </w:pPr>
            <w:r>
              <w:rPr>
                <w:rFonts w:ascii="仿宋_GB2312" w:hAnsi="仿宋_GB2312" w:cs="仿宋_GB2312" w:eastAsia="仿宋_GB2312"/>
              </w:rPr>
              <w:t>一、评审内容:提供应急预案及突发事件应急保障措施。包括但不限于（1）在作业过程中出现突发问题的应急处置方案;（2）应急响应时间:（3）出现突发状况应急人员安排。二、评审标准：1、完善性：方案必须全面，对评审内容中的各项要求有详细阐述； 2、可实施性：切合本项目实际情况，提出步骤清晰、合理的方案； 3、针对性：方案能够紧扣项目实际情况，内容科学合理。 三、赋分标准（9分）： （1）在作业过程中出现突发问题的应急处置方案：每满足一项评审标准得1分，满分3分；方案每存在一处不合理扣0.5分，扣完为止；缺项或与项目实质性内容不符得0分。 （2）应急响应时间：每满足一项评审标准得1分，满分3分；方案每存在一处不合理扣0.5分，扣完为止；缺项或与项目实质性内容不符得0分。 （3）出现突发状况应急人员安排：每满足一项评审标准得1分，满分3分；方案每存在一处不合理扣0.5分，扣完为止；缺项或与项目实质性内容不符得0分。 备注:“不合理”指内容存在错误、表述不完善、缺少次要关键点或不完全贴合本项目特征等情形。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一、评审内容：对供应商服务过程中的质量、安全、人员、环保、相关检测全部合格以及维修响应时间进行承诺。二、评审标准：1、完善性：方案必须全面，对评审内容中的各项要求有详细阐述； 2、可实施性：切合本项目实际情况，提出步骤清晰、合理的方案； 3、针对性：方案能够紧扣项目实际情况，内容科学合理。 三、赋分标准（3分）：评审内容每满足一项评审标准得1分，满分3分；方案每存在一处不合理扣0.5分，扣完为止；缺项或与项目实质性内容不符得0分。 备注:“不合理”指内容存在错误、表述不完善、缺少次要关键点或不完全贴合本项目特征等情形。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 2023 年1月1日至今类似项目业绩，每提供一份得 2 分，最高得4分；没有提供不得分。（业绩需提供中标通知书或施工合同，以中标通知书签发时间或施工合同签订时间为准。）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采用低价优先法计算，即满足磋商文件要求且最终磋商报价最低的投标报价为评审基准价，其价格分为满分10分。 投标报价得分＝（评审基准价/投标报价）×10 评委会三分之二以上专家认为某投标报价有低于成本价嫌疑的，为无效投标报价。 注：各供应商的在多次报价中应逐次降价，本次报价超过上次报价的，为无效报价，取消其磋商资格。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详见附件：业绩一览表</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详见附件：供应商承诺书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