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DE35E">
      <w:pPr>
        <w:keepLines w:val="0"/>
        <w:pageBreakBefore w:val="0"/>
        <w:overflowPunct w:val="0"/>
        <w:topLinePunct w:val="0"/>
        <w:bidi w:val="0"/>
        <w:spacing w:line="360" w:lineRule="auto"/>
        <w:jc w:val="center"/>
        <w:rPr>
          <w:rFonts w:hint="eastAsia" w:ascii="宋体" w:hAnsi="宋体" w:eastAsia="宋体" w:cs="宋体"/>
          <w:b/>
          <w:color w:val="000000" w:themeColor="text1"/>
          <w:sz w:val="56"/>
          <w:szCs w:val="56"/>
          <w:highlight w:val="none"/>
          <w:lang w:val="en-US" w:eastAsia="zh-CN"/>
          <w14:textFill>
            <w14:solidFill>
              <w14:schemeClr w14:val="tx1"/>
            </w14:solidFill>
          </w14:textFill>
        </w:rPr>
      </w:pPr>
      <w:bookmarkStart w:id="0" w:name="_bookmark1"/>
      <w:bookmarkEnd w:id="0"/>
      <w:bookmarkStart w:id="1" w:name="_Toc18166"/>
      <w:bookmarkStart w:id="2" w:name="_Toc196474972"/>
      <w:r>
        <w:rPr>
          <w:rFonts w:hint="eastAsia" w:ascii="宋体" w:hAnsi="宋体" w:eastAsia="宋体" w:cs="宋体"/>
          <w:color w:val="000000" w:themeColor="text1"/>
          <w:sz w:val="22"/>
          <w:szCs w:val="22"/>
          <w:highlight w:val="none"/>
          <w14:textFill>
            <w14:solidFill>
              <w14:schemeClr w14:val="tx1"/>
            </w14:solidFill>
          </w14:textFill>
        </w:rPr>
        <w:drawing>
          <wp:anchor distT="0" distB="0" distL="114300" distR="114300" simplePos="0" relativeHeight="251661312" behindDoc="0" locked="0" layoutInCell="1" allowOverlap="1">
            <wp:simplePos x="0" y="0"/>
            <wp:positionH relativeFrom="column">
              <wp:posOffset>4605020</wp:posOffset>
            </wp:positionH>
            <wp:positionV relativeFrom="paragraph">
              <wp:posOffset>86995</wp:posOffset>
            </wp:positionV>
            <wp:extent cx="1306195" cy="1148080"/>
            <wp:effectExtent l="0" t="0" r="0" b="0"/>
            <wp:wrapNone/>
            <wp:docPr id="2" name="图片 4" descr="9f552dd3d36ee532f037825e3cf1c0c"/>
            <wp:cNvGraphicFramePr/>
            <a:graphic xmlns:a="http://schemas.openxmlformats.org/drawingml/2006/main">
              <a:graphicData uri="http://schemas.openxmlformats.org/drawingml/2006/picture">
                <pic:pic xmlns:pic="http://schemas.openxmlformats.org/drawingml/2006/picture">
                  <pic:nvPicPr>
                    <pic:cNvPr id="2" name="图片 4" descr="9f552dd3d36ee532f037825e3cf1c0c"/>
                    <pic:cNvPicPr preferRelativeResize="0"/>
                  </pic:nvPicPr>
                  <pic:blipFill>
                    <a:blip r:embed="rId7"/>
                    <a:stretch>
                      <a:fillRect/>
                    </a:stretch>
                  </pic:blipFill>
                  <pic:spPr>
                    <a:xfrm>
                      <a:off x="0" y="0"/>
                      <a:ext cx="1306195" cy="1148080"/>
                    </a:xfrm>
                    <a:prstGeom prst="rect">
                      <a:avLst/>
                    </a:prstGeom>
                    <a:noFill/>
                    <a:ln>
                      <a:noFill/>
                    </a:ln>
                  </pic:spPr>
                </pic:pic>
              </a:graphicData>
            </a:graphic>
          </wp:anchor>
        </w:drawing>
      </w:r>
    </w:p>
    <w:p w14:paraId="19F28F37">
      <w:pPr>
        <w:keepLines w:val="0"/>
        <w:pageBreakBefore w:val="0"/>
        <w:overflowPunct w:val="0"/>
        <w:topLinePunct w:val="0"/>
        <w:bidi w:val="0"/>
        <w:spacing w:line="360" w:lineRule="auto"/>
        <w:jc w:val="center"/>
        <w:rPr>
          <w:rFonts w:hint="eastAsia" w:ascii="宋体" w:hAnsi="宋体" w:eastAsia="宋体" w:cs="宋体"/>
          <w:b/>
          <w:color w:val="000000" w:themeColor="text1"/>
          <w:sz w:val="56"/>
          <w:szCs w:val="56"/>
          <w:highlight w:val="none"/>
          <w:lang w:eastAsia="zh-CN"/>
          <w14:textFill>
            <w14:solidFill>
              <w14:schemeClr w14:val="tx1"/>
            </w14:solidFill>
          </w14:textFill>
        </w:rPr>
      </w:pPr>
    </w:p>
    <w:p w14:paraId="5C854E02">
      <w:pPr>
        <w:keepLines w:val="0"/>
        <w:pageBreakBefore w:val="0"/>
        <w:overflowPunct w:val="0"/>
        <w:topLinePunct w:val="0"/>
        <w:bidi w:val="0"/>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72F81CBD">
      <w:pPr>
        <w:keepLines w:val="0"/>
        <w:pageBreakBefore w:val="0"/>
        <w:overflowPunct w:val="0"/>
        <w:topLinePunct w:val="0"/>
        <w:bidi w:val="0"/>
        <w:spacing w:line="360" w:lineRule="auto"/>
        <w:jc w:val="center"/>
        <w:rPr>
          <w:rFonts w:hint="eastAsia" w:ascii="宋体" w:hAnsi="宋体" w:eastAsia="宋体" w:cs="宋体"/>
          <w:b/>
          <w:color w:val="000000" w:themeColor="text1"/>
          <w:sz w:val="60"/>
          <w:szCs w:val="60"/>
          <w:highlight w:val="none"/>
          <w14:textFill>
            <w14:solidFill>
              <w14:schemeClr w14:val="tx1"/>
            </w14:solidFill>
          </w14:textFill>
        </w:rPr>
      </w:pPr>
      <w:r>
        <w:rPr>
          <w:rFonts w:hint="eastAsia" w:ascii="宋体" w:hAnsi="宋体" w:cs="宋体"/>
          <w:b/>
          <w:color w:val="000000" w:themeColor="text1"/>
          <w:sz w:val="60"/>
          <w:szCs w:val="60"/>
          <w:highlight w:val="none"/>
          <w:lang w:val="en-US" w:eastAsia="zh-CN"/>
          <w14:textFill>
            <w14:solidFill>
              <w14:schemeClr w14:val="tx1"/>
            </w14:solidFill>
          </w14:textFill>
        </w:rPr>
        <w:t>增补叶酸预防神经管缺陷项目</w:t>
      </w:r>
    </w:p>
    <w:p w14:paraId="1A230966">
      <w:pPr>
        <w:keepLines w:val="0"/>
        <w:pageBreakBefore w:val="0"/>
        <w:overflowPunct w:val="0"/>
        <w:topLinePunct w:val="0"/>
        <w:bidi w:val="0"/>
        <w:spacing w:line="360" w:lineRule="auto"/>
        <w:jc w:val="center"/>
        <w:rPr>
          <w:rFonts w:hint="eastAsia" w:ascii="宋体" w:hAnsi="宋体" w:eastAsia="宋体" w:cs="宋体"/>
          <w:b/>
          <w:color w:val="000000" w:themeColor="text1"/>
          <w:sz w:val="60"/>
          <w:szCs w:val="60"/>
          <w:highlight w:val="none"/>
          <w14:textFill>
            <w14:solidFill>
              <w14:schemeClr w14:val="tx1"/>
            </w14:solidFill>
          </w14:textFill>
        </w:rPr>
      </w:pPr>
    </w:p>
    <w:p w14:paraId="4CD1248F">
      <w:pPr>
        <w:keepLines w:val="0"/>
        <w:pageBreakBefore w:val="0"/>
        <w:overflowPunct w:val="0"/>
        <w:topLinePunct w:val="0"/>
        <w:bidi w:val="0"/>
        <w:spacing w:line="360" w:lineRule="auto"/>
        <w:jc w:val="center"/>
        <w:rPr>
          <w:rFonts w:hint="eastAsia" w:ascii="宋体" w:hAnsi="宋体" w:eastAsia="宋体" w:cs="宋体"/>
          <w:b/>
          <w:color w:val="000000" w:themeColor="text1"/>
          <w:sz w:val="60"/>
          <w:szCs w:val="60"/>
          <w:highlight w:val="none"/>
          <w14:textFill>
            <w14:solidFill>
              <w14:schemeClr w14:val="tx1"/>
            </w14:solidFill>
          </w14:textFill>
        </w:rPr>
      </w:pPr>
      <w:r>
        <w:rPr>
          <w:rFonts w:hint="eastAsia" w:ascii="宋体" w:hAnsi="宋体" w:eastAsia="宋体" w:cs="宋体"/>
          <w:b/>
          <w:color w:val="000000" w:themeColor="text1"/>
          <w:sz w:val="60"/>
          <w:szCs w:val="60"/>
          <w:highlight w:val="none"/>
          <w14:textFill>
            <w14:solidFill>
              <w14:schemeClr w14:val="tx1"/>
            </w14:solidFill>
          </w14:textFill>
        </w:rPr>
        <w:t>竞争性</w:t>
      </w:r>
      <w:r>
        <w:rPr>
          <w:rFonts w:hint="eastAsia" w:ascii="宋体" w:hAnsi="宋体" w:eastAsia="宋体" w:cs="宋体"/>
          <w:b/>
          <w:color w:val="000000" w:themeColor="text1"/>
          <w:sz w:val="60"/>
          <w:szCs w:val="60"/>
          <w:highlight w:val="none"/>
          <w:lang w:val="en-US" w:eastAsia="zh-CN"/>
          <w14:textFill>
            <w14:solidFill>
              <w14:schemeClr w14:val="tx1"/>
            </w14:solidFill>
          </w14:textFill>
        </w:rPr>
        <w:t>谈判</w:t>
      </w:r>
      <w:r>
        <w:rPr>
          <w:rFonts w:hint="eastAsia" w:ascii="宋体" w:hAnsi="宋体" w:eastAsia="宋体" w:cs="宋体"/>
          <w:b/>
          <w:color w:val="000000" w:themeColor="text1"/>
          <w:sz w:val="60"/>
          <w:szCs w:val="60"/>
          <w:highlight w:val="none"/>
          <w14:textFill>
            <w14:solidFill>
              <w14:schemeClr w14:val="tx1"/>
            </w14:solidFill>
          </w14:textFill>
        </w:rPr>
        <w:t>文件</w:t>
      </w:r>
    </w:p>
    <w:p w14:paraId="3370EAFF">
      <w:pPr>
        <w:keepLines w:val="0"/>
        <w:pageBreakBefore w:val="0"/>
        <w:overflowPunct w:val="0"/>
        <w:topLinePunct w:val="0"/>
        <w:bidi w:val="0"/>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pPr>
    </w:p>
    <w:p w14:paraId="7DDA2FF1">
      <w:pPr>
        <w:keepLines w:val="0"/>
        <w:pageBreakBefore w:val="0"/>
        <w:overflowPunct w:val="0"/>
        <w:topLinePunct w:val="0"/>
        <w:bidi w:val="0"/>
        <w:spacing w:line="360" w:lineRule="auto"/>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项目编号：</w:t>
      </w:r>
      <w:r>
        <w:rPr>
          <w:rFonts w:hint="eastAsia" w:ascii="宋体" w:hAnsi="宋体" w:cs="宋体"/>
          <w:b/>
          <w:bCs/>
          <w:color w:val="000000" w:themeColor="text1"/>
          <w:sz w:val="32"/>
          <w:szCs w:val="32"/>
          <w:highlight w:val="none"/>
          <w:lang w:eastAsia="zh-CN"/>
          <w14:textFill>
            <w14:solidFill>
              <w14:schemeClr w14:val="tx1"/>
            </w14:solidFill>
          </w14:textFill>
        </w:rPr>
        <w:t>HHZY-2026-13</w:t>
      </w:r>
    </w:p>
    <w:p w14:paraId="0459279E">
      <w:pPr>
        <w:keepLines w:val="0"/>
        <w:pageBreakBefore w:val="0"/>
        <w:overflowPunct w:val="0"/>
        <w:topLinePunct w:val="0"/>
        <w:bidi w:val="0"/>
        <w:spacing w:line="360" w:lineRule="auto"/>
        <w:rPr>
          <w:rFonts w:hint="eastAsia" w:ascii="宋体" w:hAnsi="宋体" w:eastAsia="宋体" w:cs="宋体"/>
          <w:b/>
          <w:color w:val="000000" w:themeColor="text1"/>
          <w:sz w:val="44"/>
          <w:szCs w:val="44"/>
          <w:highlight w:val="none"/>
          <w14:textFill>
            <w14:solidFill>
              <w14:schemeClr w14:val="tx1"/>
            </w14:solidFill>
          </w14:textFill>
        </w:rPr>
      </w:pPr>
    </w:p>
    <w:p w14:paraId="59285895">
      <w:pPr>
        <w:keepLines w:val="0"/>
        <w:pageBreakBefore w:val="0"/>
        <w:overflowPunct w:val="0"/>
        <w:topLinePunct w:val="0"/>
        <w:bidi w:val="0"/>
        <w:spacing w:line="360" w:lineRule="auto"/>
        <w:jc w:val="both"/>
        <w:rPr>
          <w:rFonts w:hint="eastAsia" w:ascii="宋体" w:hAnsi="宋体" w:eastAsia="宋体" w:cs="宋体"/>
          <w:b/>
          <w:color w:val="000000" w:themeColor="text1"/>
          <w:sz w:val="32"/>
          <w:szCs w:val="32"/>
          <w:highlight w:val="none"/>
          <w14:textFill>
            <w14:solidFill>
              <w14:schemeClr w14:val="tx1"/>
            </w14:solidFill>
          </w14:textFill>
        </w:rPr>
      </w:pPr>
    </w:p>
    <w:p w14:paraId="4F41B3A6">
      <w:pPr>
        <w:keepLines w:val="0"/>
        <w:pageBreakBefore w:val="0"/>
        <w:overflowPunct w:val="0"/>
        <w:topLinePunct w:val="0"/>
        <w:bidi w:val="0"/>
        <w:spacing w:line="360" w:lineRule="auto"/>
        <w:jc w:val="both"/>
        <w:rPr>
          <w:rFonts w:hint="eastAsia" w:ascii="宋体" w:hAnsi="宋体" w:eastAsia="宋体" w:cs="宋体"/>
          <w:b/>
          <w:color w:val="000000" w:themeColor="text1"/>
          <w:sz w:val="32"/>
          <w:szCs w:val="32"/>
          <w:highlight w:val="none"/>
          <w14:textFill>
            <w14:solidFill>
              <w14:schemeClr w14:val="tx1"/>
            </w14:solidFill>
          </w14:textFill>
        </w:rPr>
      </w:pPr>
    </w:p>
    <w:p w14:paraId="68C4FC24">
      <w:pPr>
        <w:keepLines w:val="0"/>
        <w:pageBreakBefore w:val="0"/>
        <w:widowControl/>
        <w:overflowPunct w:val="0"/>
        <w:topLinePunct w:val="0"/>
        <w:bidi w:val="0"/>
        <w:rPr>
          <w:rFonts w:hint="eastAsia" w:ascii="宋体" w:hAnsi="宋体" w:eastAsia="宋体" w:cs="宋体"/>
          <w:b/>
          <w:color w:val="000000" w:themeColor="text1"/>
          <w:sz w:val="32"/>
          <w:szCs w:val="32"/>
          <w:highlight w:val="none"/>
          <w14:textFill>
            <w14:solidFill>
              <w14:schemeClr w14:val="tx1"/>
            </w14:solidFill>
          </w14:textFill>
        </w:rPr>
      </w:pPr>
    </w:p>
    <w:p w14:paraId="1EF5B944">
      <w:pPr>
        <w:keepLines w:val="0"/>
        <w:pageBreakBefore w:val="0"/>
        <w:widowControl/>
        <w:overflowPunct w:val="0"/>
        <w:topLinePunct w:val="0"/>
        <w:bidi w:val="0"/>
        <w:spacing w:line="360" w:lineRule="auto"/>
        <w:ind w:firstLine="1285" w:firstLineChars="40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采购单位：</w:t>
      </w:r>
      <w:r>
        <w:rPr>
          <w:rFonts w:hint="eastAsia" w:ascii="宋体" w:hAnsi="宋体" w:cs="宋体"/>
          <w:b/>
          <w:color w:val="000000" w:themeColor="text1"/>
          <w:sz w:val="32"/>
          <w:szCs w:val="32"/>
          <w:highlight w:val="none"/>
          <w:lang w:val="en-US" w:eastAsia="zh-CN"/>
          <w14:textFill>
            <w14:solidFill>
              <w14:schemeClr w14:val="tx1"/>
            </w14:solidFill>
          </w14:textFill>
        </w:rPr>
        <w:t>安康市妇幼保健院</w:t>
      </w:r>
    </w:p>
    <w:p w14:paraId="349908E0">
      <w:pPr>
        <w:keepLines w:val="0"/>
        <w:pageBreakBefore w:val="0"/>
        <w:widowControl/>
        <w:overflowPunct w:val="0"/>
        <w:topLinePunct w:val="0"/>
        <w:bidi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2AC9FF65">
      <w:pPr>
        <w:keepLines w:val="0"/>
        <w:pageBreakBefore w:val="0"/>
        <w:widowControl/>
        <w:overflowPunct w:val="0"/>
        <w:topLinePunct w:val="0"/>
        <w:bidi w:val="0"/>
        <w:spacing w:line="360" w:lineRule="auto"/>
        <w:ind w:firstLine="1285" w:firstLineChars="400"/>
        <w:jc w:val="both"/>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采购代理机构：安康华昊智远项目管理有限公司</w:t>
      </w:r>
    </w:p>
    <w:p w14:paraId="716808CB">
      <w:pPr>
        <w:keepLines w:val="0"/>
        <w:pageBreakBefore w:val="0"/>
        <w:widowControl/>
        <w:overflowPunct w:val="0"/>
        <w:topLinePunct w:val="0"/>
        <w:bidi w:val="0"/>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p>
    <w:p w14:paraId="2462FA7B">
      <w:pPr>
        <w:keepLines w:val="0"/>
        <w:pageBreakBefore w:val="0"/>
        <w:widowControl/>
        <w:overflowPunct w:val="0"/>
        <w:topLinePunct w:val="0"/>
        <w:bidi w:val="0"/>
        <w:spacing w:line="360" w:lineRule="auto"/>
        <w:jc w:val="center"/>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二○二</w:t>
      </w:r>
      <w:r>
        <w:rPr>
          <w:rFonts w:hint="eastAsia" w:ascii="宋体" w:hAnsi="宋体" w:cs="宋体"/>
          <w:b/>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
          <w:color w:val="000000" w:themeColor="text1"/>
          <w:sz w:val="32"/>
          <w:szCs w:val="32"/>
          <w:highlight w:val="none"/>
          <w14:textFill>
            <w14:solidFill>
              <w14:schemeClr w14:val="tx1"/>
            </w14:solidFill>
          </w14:textFill>
        </w:rPr>
        <w:t>年</w:t>
      </w:r>
      <w:r>
        <w:rPr>
          <w:rFonts w:hint="eastAsia" w:ascii="宋体" w:hAnsi="宋体" w:cs="宋体"/>
          <w:b/>
          <w:color w:val="000000" w:themeColor="text1"/>
          <w:sz w:val="32"/>
          <w:szCs w:val="32"/>
          <w:highlight w:val="none"/>
          <w:lang w:val="en-US" w:eastAsia="zh-CN"/>
          <w14:textFill>
            <w14:solidFill>
              <w14:schemeClr w14:val="tx1"/>
            </w14:solidFill>
          </w14:textFill>
        </w:rPr>
        <w:t>十</w:t>
      </w:r>
      <w:r>
        <w:rPr>
          <w:rFonts w:hint="eastAsia" w:ascii="宋体" w:hAnsi="宋体" w:eastAsia="宋体" w:cs="宋体"/>
          <w:b/>
          <w:color w:val="000000" w:themeColor="text1"/>
          <w:sz w:val="32"/>
          <w:szCs w:val="32"/>
          <w:highlight w:val="none"/>
          <w14:textFill>
            <w14:solidFill>
              <w14:schemeClr w14:val="tx1"/>
            </w14:solidFill>
          </w14:textFill>
        </w:rPr>
        <w:t>月</w:t>
      </w:r>
    </w:p>
    <w:p w14:paraId="5F62EE96">
      <w:pPr>
        <w:pStyle w:val="18"/>
        <w:keepLines w:val="0"/>
        <w:pageBreakBefore w:val="0"/>
        <w:overflowPunct w:val="0"/>
        <w:topLinePunct w:val="0"/>
        <w:bidi w:val="0"/>
        <w:rPr>
          <w:rFonts w:hint="eastAsia" w:ascii="宋体" w:hAnsi="宋体" w:eastAsia="宋体" w:cs="宋体"/>
          <w:b/>
          <w:bCs/>
          <w:color w:val="000000" w:themeColor="text1"/>
          <w:sz w:val="36"/>
          <w:szCs w:val="36"/>
          <w:highlight w:val="none"/>
          <w:lang w:val="zh-CN"/>
          <w14:textFill>
            <w14:solidFill>
              <w14:schemeClr w14:val="tx1"/>
            </w14:solidFill>
          </w14:textFill>
        </w:rPr>
      </w:pPr>
    </w:p>
    <w:p w14:paraId="6B663949">
      <w:pPr>
        <w:keepLines w:val="0"/>
        <w:pageBreakBefore w:val="0"/>
        <w:overflowPunct w:val="0"/>
        <w:topLinePunct w:val="0"/>
        <w:bidi w:val="0"/>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sectPr>
          <w:footerReference r:id="rId3" w:type="default"/>
          <w:footnotePr>
            <w:numFmt w:val="decimalEnclosedCircleChinese"/>
            <w:numRestart w:val="eachPage"/>
          </w:footnotePr>
          <w:pgSz w:w="11907" w:h="16840"/>
          <w:pgMar w:top="1440" w:right="1417" w:bottom="1440" w:left="1474" w:header="720" w:footer="624" w:gutter="0"/>
          <w:pgBorders>
            <w:top w:val="none" w:sz="0" w:space="0"/>
            <w:left w:val="none" w:sz="0" w:space="0"/>
            <w:bottom w:val="none" w:sz="0" w:space="0"/>
            <w:right w:val="none" w:sz="0" w:space="0"/>
          </w:pgBorders>
          <w:pgNumType w:fmt="decimal"/>
          <w:cols w:space="720" w:num="1"/>
        </w:sectPr>
      </w:pPr>
    </w:p>
    <w:p w14:paraId="684AE8BA">
      <w:pPr>
        <w:keepLines w:val="0"/>
        <w:pageBreakBefore w:val="0"/>
        <w:overflowPunct w:val="0"/>
        <w:topLinePunct w:val="0"/>
        <w:bidi w:val="0"/>
        <w:spacing w:line="360" w:lineRule="auto"/>
        <w:jc w:val="center"/>
        <w:outlineLvl w:val="0"/>
        <w:rPr>
          <w:rFonts w:hint="eastAsia" w:ascii="宋体" w:hAnsi="宋体" w:eastAsia="宋体" w:cs="宋体"/>
          <w:b/>
          <w:bCs/>
          <w:color w:val="000000" w:themeColor="text1"/>
          <w:sz w:val="24"/>
          <w:szCs w:val="24"/>
          <w:highlight w:val="none"/>
          <w14:textFill>
            <w14:solidFill>
              <w14:schemeClr w14:val="tx1"/>
            </w14:solidFill>
          </w14:textFill>
        </w:rPr>
      </w:pPr>
      <w:bookmarkStart w:id="3" w:name="_Toc25027"/>
      <w:r>
        <w:rPr>
          <w:rFonts w:hint="eastAsia" w:ascii="宋体" w:hAnsi="宋体" w:eastAsia="宋体" w:cs="宋体"/>
          <w:b/>
          <w:bCs/>
          <w:color w:val="000000" w:themeColor="text1"/>
          <w:sz w:val="24"/>
          <w:szCs w:val="24"/>
          <w:highlight w:val="none"/>
          <w14:textFill>
            <w14:solidFill>
              <w14:schemeClr w14:val="tx1"/>
            </w14:solidFill>
          </w14:textFill>
        </w:rPr>
        <w:t>特别提醒</w:t>
      </w:r>
      <w:bookmarkEnd w:id="3"/>
    </w:p>
    <w:p w14:paraId="775CB446">
      <w:pPr>
        <w:keepNext w:val="0"/>
        <w:keepLines w:val="0"/>
        <w:pageBreakBefore w:val="0"/>
        <w:widowControl w:val="0"/>
        <w:kinsoku/>
        <w:wordWrap/>
        <w:overflowPunct w:val="0"/>
        <w:topLinePunct w:val="0"/>
        <w:autoSpaceDE/>
        <w:autoSpaceDN/>
        <w:bidi w:val="0"/>
        <w:adjustRightInd/>
        <w:snapToGrid/>
        <w:spacing w:line="480" w:lineRule="exac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安康市公共资源交易平台全流程电子化、政府采购项目内容</w:t>
      </w:r>
    </w:p>
    <w:p w14:paraId="4747EFEF">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一、关于需要特别提醒供应商的内容</w:t>
      </w:r>
    </w:p>
    <w:p w14:paraId="2F638E8E">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1、本项目采用电子化投标及远程不见面开标方式（无需提供纸质版文件，无需到开标现场）。开标时</w:t>
      </w:r>
      <w:r>
        <w:rPr>
          <w:rFonts w:hint="eastAsia" w:ascii="宋体" w:hAnsi="宋体" w:eastAsia="宋体" w:cs="宋体"/>
          <w:color w:val="000000" w:themeColor="text1"/>
          <w:highlight w:val="none"/>
          <w14:textFill>
            <w14:solidFill>
              <w14:schemeClr w14:val="tx1"/>
            </w14:solidFill>
          </w14:textFill>
        </w:rPr>
        <w:t>供应商须在各自办公场所使用加密时的同一CA锁在线解密</w:t>
      </w:r>
      <w:r>
        <w:rPr>
          <w:rFonts w:hint="eastAsia" w:ascii="宋体" w:hAnsi="宋体" w:eastAsia="宋体" w:cs="宋体"/>
          <w:color w:val="000000" w:themeColor="text1"/>
          <w:highlight w:val="none"/>
          <w14:textFill>
            <w14:solidFill>
              <w14:schemeClr w14:val="tx1"/>
            </w14:solidFill>
          </w14:textFill>
        </w:rPr>
        <w:t>，如因供应商自身原因未携带数字认证证书造成无法解密投标文件，按无效投标对待。</w:t>
      </w:r>
    </w:p>
    <w:p w14:paraId="065C01FC">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2、电子开标、评标无法进行时，按照《安康市公共资源交易平台电子化交易应急处置管理办法(试行)》规定执行。</w:t>
      </w:r>
    </w:p>
    <w:p w14:paraId="2C2C1B33">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3、制作电子投标文件</w:t>
      </w:r>
    </w:p>
    <w:p w14:paraId="660F3331">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6F1909AF">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4、递交电子投标文件</w:t>
      </w:r>
    </w:p>
    <w:p w14:paraId="7741914D">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46D81DE">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二、关于投标</w:t>
      </w:r>
    </w:p>
    <w:p w14:paraId="36FFB919">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1.投标须知：使用捆绑省交易平台的CA锁登录电子交易平台，通过政府采购系统企业端进入，点击我要投标，完善相关投标信息。</w:t>
      </w:r>
    </w:p>
    <w:p w14:paraId="07DFEEF5">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2.投标确认：供应商须在文件获取时间内下载扩展名为（*.SXSZF）的电子招标文件，未在招标文件获取时间内下载招标文件将导致投标被拒绝。</w:t>
      </w:r>
    </w:p>
    <w:p w14:paraId="350ADCAC">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3.未完成网上投标成功的或未在网站上下载招标文件的，无法完成后续流程。</w:t>
      </w:r>
    </w:p>
    <w:p w14:paraId="32EB3D01">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4.本项目采用电子化不见面投标的方式，相关操作流程详见全国公共资源交易平台（陕西省）网站[服务指南-下载专区]中的《陕西省公共资源交易中心政府采购项目投标指南》；</w:t>
      </w:r>
    </w:p>
    <w:p w14:paraId="50BBEE74">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5.各供应商须在</w:t>
      </w:r>
      <w:r>
        <w:rPr>
          <w:rFonts w:hint="eastAsia" w:ascii="宋体" w:hAnsi="宋体" w:eastAsia="宋体" w:cs="宋体"/>
          <w:color w:val="000000" w:themeColor="text1"/>
          <w:highlight w:val="none"/>
          <w:lang w:val="en-US" w:eastAsia="zh-CN"/>
          <w14:textFill>
            <w14:solidFill>
              <w14:schemeClr w14:val="tx1"/>
            </w14:solidFill>
          </w14:textFill>
        </w:rPr>
        <w:t>文件获取时间</w:t>
      </w:r>
      <w:r>
        <w:rPr>
          <w:rFonts w:hint="eastAsia" w:ascii="宋体" w:hAnsi="宋体" w:eastAsia="宋体" w:cs="宋体"/>
          <w:color w:val="000000" w:themeColor="text1"/>
          <w:highlight w:val="none"/>
          <w14:textFill>
            <w14:solidFill>
              <w14:schemeClr w14:val="tx1"/>
            </w14:solidFill>
          </w14:textFill>
        </w:rPr>
        <w:t>内下载招标文件，未下载文件的供应商将无法提交电子投标文件；</w:t>
      </w:r>
    </w:p>
    <w:p w14:paraId="05371F3A">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6.电子投标文件技术支持：4009280095、4009980000；</w:t>
      </w:r>
    </w:p>
    <w:p w14:paraId="2112EC5F">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7.请各供应商获取招标文件后，按照陕西省财政厅《关于政府采购供应商注册登记有关事项的通知》要求，通过陕西省政府采购网注册登记加入陕西省政府采购供应商库。</w:t>
      </w:r>
    </w:p>
    <w:p w14:paraId="6E214592">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三、关于文件的制作和签名</w:t>
      </w:r>
    </w:p>
    <w:p w14:paraId="4648947F">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为确保采购项目顺利开展，本项目采用电子化投标及远程不见面开标方式（无需提供纸质版文件，无需到开标现场）。投投标供应商须使用数字认证证书在全省统一交易平台填写投标信息，对电子投标文件进行签章、加密、递交及开标时解密等相关招投标事宜。加密和解密必须为同一数字认证证书，否则将会导致解密失败。涉及二次报价的必须使用主证。如因供应商自身原因，造成无法完成电子流程的，按无效投标对待。</w:t>
      </w:r>
    </w:p>
    <w:p w14:paraId="2C4A2DF3">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编制电子投标文件时，应使用最新发布的电子招标文件及专用制作工具进行编制。并使用数字认证证书（CA）对电子投标文件进行签署、加密、递交及开标时解密等相关操作。</w:t>
      </w:r>
    </w:p>
    <w:p w14:paraId="474F89E9">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（1）电子招标文件下载</w:t>
      </w:r>
    </w:p>
    <w:p w14:paraId="01688771">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供应商登录全国公共资源交易平台（陕西省）网站[电子交易平台-企业端]后，在[我的项目]中点击“项目流程-交易文件下载”下载电子招标文件（*.SXSZF）</w:t>
      </w:r>
      <w:r>
        <w:rPr>
          <w:rFonts w:hint="eastAsia" w:ascii="宋体" w:hAnsi="宋体" w:eastAsia="宋体" w:cs="宋体"/>
          <w:color w:val="000000" w:themeColor="text1"/>
          <w:highlight w:val="none"/>
          <w:lang w:eastAsia="zh-CN"/>
          <w14:textFill>
            <w14:solidFill>
              <w14:schemeClr w14:val="tx1"/>
            </w14:solidFill>
          </w14:textFill>
        </w:rPr>
        <w:t>；</w:t>
      </w:r>
    </w:p>
    <w:p w14:paraId="52260557">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注意：该项目如有变更文件，则应点击“项目流程&gt;答疑文件下载”下载更新后的电子招标文件（*.SXSCF），使用旧版电子招标文件制作的电子投标文件，系统将拒绝接收。</w:t>
      </w:r>
    </w:p>
    <w:p w14:paraId="105B735B">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（2）电子招标文件需要使用专用软件打开、浏览</w:t>
      </w:r>
    </w:p>
    <w:p w14:paraId="21E39CF1">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登录全国公共资源交易平台（陕西省）网站[服务指南-下载专区]免费下载《陕西省公共资源交易平台政府采购电子标书制作工具(V8.0.0.2)》，下载网址：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下载网址：</w:t>
      </w:r>
    </w:p>
    <w:p w14:paraId="7ACCD9DF">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http://www.sxggzyjy.cn/fwzn/004003/20170821/c3afa05b-f5e6-4e64-9fb0-e397ef73413d.html；</w:t>
      </w:r>
    </w:p>
    <w:p w14:paraId="4ADD0764">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（3）制作电子投标文件</w:t>
      </w:r>
    </w:p>
    <w:p w14:paraId="0C34BECE">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电子投标文件同样需要使用上述软件进行编制。在编制过程中，如有技术性问题，请先翻阅操作手册或致电软件开发商，技术支持热线：4009280095、4009980000。</w:t>
      </w:r>
    </w:p>
    <w:p w14:paraId="12012261">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四、关于响应文件递交与解密</w:t>
      </w:r>
    </w:p>
    <w:p w14:paraId="4EA6DCF7">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1.文件递交</w:t>
      </w:r>
    </w:p>
    <w:p w14:paraId="68672BBB">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65722739">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 本项目招标投标采用电子化投标及远程不见面开标方式进行，（无需提供纸质版文件，无需到开标现场）。</w:t>
      </w:r>
    </w:p>
    <w:p w14:paraId="70007625">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outlineLvl w:val="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2.文件开启与解密</w:t>
      </w:r>
    </w:p>
    <w:p w14:paraId="0186866B">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（1）开标时，供应商须使用电子投标文件加密时所用的数字认证证书（CA锁）在各自办公场所的电脑上自行解密电子投标文件。涉及到二次报价的，</w:t>
      </w:r>
      <w:r>
        <w:rPr>
          <w:rFonts w:hint="eastAsia" w:ascii="宋体" w:hAnsi="宋体" w:eastAsia="宋体" w:cs="宋体"/>
          <w:color w:val="000000" w:themeColor="text1"/>
          <w:highlight w:val="none"/>
          <w:lang w:val="en-US" w:eastAsia="zh-CN"/>
          <w14:textFill>
            <w14:solidFill>
              <w14:schemeClr w14:val="tx1"/>
            </w14:solidFill>
          </w14:textFill>
        </w:rPr>
        <w:t>需使用</w:t>
      </w:r>
      <w:r>
        <w:rPr>
          <w:rFonts w:hint="eastAsia" w:ascii="宋体" w:hAnsi="宋体" w:eastAsia="宋体" w:cs="宋体"/>
          <w:color w:val="000000" w:themeColor="text1"/>
          <w:highlight w:val="none"/>
          <w14:textFill>
            <w14:solidFill>
              <w14:schemeClr w14:val="tx1"/>
            </w14:solidFill>
          </w14:textFill>
        </w:rPr>
        <w:t>主锁报价，只有主锁才有签章功能，二次报价才能完成。</w:t>
      </w:r>
    </w:p>
    <w:p w14:paraId="08120766">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（2）电子开标、评标无法进行时，按照《安康市公共资源交易平台电子化交易应急处置管理办法(试行)》规定执行。</w:t>
      </w:r>
    </w:p>
    <w:p w14:paraId="12F6A98C">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编制的电子投标文件，须使用数字认证证书（CA）对电子投标文件进行签署、加密、递交及开标时解密等相关操作。响应文件中签名不能采用机打签名方式，应采用手写方式，因此导致废标或未中标，投标供应商自行承担责任。</w:t>
      </w:r>
    </w:p>
    <w:p w14:paraId="36F89B5E">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（4）在开标环节出现下列情况之一的，其电子投标文件视为无效文件：</w:t>
      </w:r>
    </w:p>
    <w:p w14:paraId="2BA5AD88">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a.供应商拒绝对电子投标文件进行解密的；</w:t>
      </w:r>
    </w:p>
    <w:p w14:paraId="0D8F33CE">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b.本项目采用</w:t>
      </w:r>
      <w:r>
        <w:rPr>
          <w:rFonts w:hint="eastAsia" w:ascii="宋体" w:hAnsi="宋体" w:eastAsia="宋体" w:cs="宋体"/>
          <w:color w:val="000000" w:themeColor="text1"/>
          <w:highlight w:val="none"/>
          <w:lang w:val="en-US" w:eastAsia="zh-CN"/>
          <w14:textFill>
            <w14:solidFill>
              <w14:schemeClr w14:val="tx1"/>
            </w14:solidFill>
          </w14:textFill>
        </w:rPr>
        <w:t>全流程电子化招投标</w:t>
      </w:r>
      <w:r>
        <w:rPr>
          <w:rFonts w:hint="eastAsia" w:ascii="宋体" w:hAnsi="宋体" w:eastAsia="宋体" w:cs="宋体"/>
          <w:color w:val="000000" w:themeColor="text1"/>
          <w:highlight w:val="none"/>
          <w14:textFill>
            <w14:solidFill>
              <w14:schemeClr w14:val="tx1"/>
            </w14:solidFill>
          </w14:textFill>
        </w:rPr>
        <w:t>及</w:t>
      </w:r>
      <w:r>
        <w:rPr>
          <w:rFonts w:hint="eastAsia" w:ascii="宋体" w:hAnsi="宋体" w:eastAsia="宋体" w:cs="宋体"/>
          <w:color w:val="000000" w:themeColor="text1"/>
          <w:highlight w:val="none"/>
          <w:lang w:val="en-US" w:eastAsia="zh-CN"/>
          <w14:textFill>
            <w14:solidFill>
              <w14:schemeClr w14:val="tx1"/>
            </w14:solidFill>
          </w14:textFill>
        </w:rPr>
        <w:t>不见面</w:t>
      </w:r>
      <w:r>
        <w:rPr>
          <w:rFonts w:hint="eastAsia" w:ascii="宋体" w:hAnsi="宋体" w:eastAsia="宋体" w:cs="宋体"/>
          <w:color w:val="000000" w:themeColor="text1"/>
          <w:highlight w:val="none"/>
          <w14:textFill>
            <w14:solidFill>
              <w14:schemeClr w14:val="tx1"/>
            </w14:solidFill>
          </w14:textFill>
        </w:rPr>
        <w:t>开标方式（无需提供纸质版文件，</w:t>
      </w:r>
      <w:r>
        <w:rPr>
          <w:rFonts w:hint="eastAsia" w:ascii="宋体" w:hAnsi="宋体" w:eastAsia="宋体" w:cs="宋体"/>
          <w:color w:val="000000" w:themeColor="text1"/>
          <w:highlight w:val="none"/>
          <w:lang w:val="en-US" w:eastAsia="zh-CN"/>
          <w14:textFill>
            <w14:solidFill>
              <w14:schemeClr w14:val="tx1"/>
            </w14:solidFill>
          </w14:textFill>
        </w:rPr>
        <w:t>无</w:t>
      </w:r>
      <w:r>
        <w:rPr>
          <w:rFonts w:hint="eastAsia" w:ascii="宋体" w:hAnsi="宋体" w:eastAsia="宋体" w:cs="宋体"/>
          <w:color w:val="000000" w:themeColor="text1"/>
          <w:highlight w:val="none"/>
          <w14:textFill>
            <w14:solidFill>
              <w14:schemeClr w14:val="tx1"/>
            </w14:solidFill>
          </w14:textFill>
        </w:rPr>
        <w:t>需到开标现场）。</w:t>
      </w:r>
      <w:r>
        <w:rPr>
          <w:rFonts w:hint="eastAsia" w:ascii="宋体" w:hAnsi="宋体" w:eastAsia="宋体" w:cs="宋体"/>
          <w:color w:val="000000" w:themeColor="text1"/>
          <w:highlight w:val="none"/>
          <w14:textFill>
            <w14:solidFill>
              <w14:schemeClr w14:val="tx1"/>
            </w14:solidFill>
          </w14:textFill>
        </w:rPr>
        <w:t>开标时供应商须在各自办公场所使用加密时的同一CA锁在线解密</w:t>
      </w:r>
      <w:r>
        <w:rPr>
          <w:rFonts w:hint="eastAsia" w:ascii="宋体" w:hAnsi="宋体" w:eastAsia="宋体" w:cs="宋体"/>
          <w:color w:val="000000" w:themeColor="text1"/>
          <w:highlight w:val="none"/>
          <w14:textFill>
            <w14:solidFill>
              <w14:schemeClr w14:val="tx1"/>
            </w14:solidFill>
          </w14:textFill>
        </w:rPr>
        <w:t>，如因供应商自身原因（如未带CA锁、或所带CA锁与制作电子投标文件使用的CA锁不一</w:t>
      </w:r>
      <w:r>
        <w:rPr>
          <w:rFonts w:hint="eastAsia" w:ascii="宋体" w:hAnsi="宋体" w:eastAsia="宋体" w:cs="宋体"/>
          <w:color w:val="000000" w:themeColor="text1"/>
          <w:highlight w:val="none"/>
          <w:lang w:val="en-US" w:eastAsia="zh-CN"/>
          <w14:textFill>
            <w14:solidFill>
              <w14:schemeClr w14:val="tx1"/>
            </w14:solidFill>
          </w14:textFill>
        </w:rPr>
        <w:t>致（加密和解密必须为同一数字认证证书，否则将会导致解密失败）、或沿用旧版招标文件编制投标文件</w:t>
      </w:r>
      <w:r>
        <w:rPr>
          <w:rFonts w:hint="eastAsia" w:ascii="宋体" w:hAnsi="宋体" w:eastAsia="宋体" w:cs="宋体"/>
          <w:color w:val="000000" w:themeColor="text1"/>
          <w:highlight w:val="none"/>
          <w14:textFill>
            <w14:solidFill>
              <w14:schemeClr w14:val="tx1"/>
            </w14:solidFill>
          </w14:textFill>
        </w:rPr>
        <w:t>等情形），导致在规定时间</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30分钟</w:t>
      </w:r>
      <w:r>
        <w:rPr>
          <w:rFonts w:hint="eastAsia" w:ascii="宋体" w:hAnsi="宋体" w:eastAsia="宋体" w:cs="宋体"/>
          <w:color w:val="000000" w:themeColor="text1"/>
          <w:highlight w:val="none"/>
          <w14:textFill>
            <w14:solidFill>
              <w14:schemeClr w14:val="tx1"/>
            </w14:solidFill>
          </w14:textFill>
        </w:rPr>
        <w:t>内</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无法解密投标文件的；</w:t>
      </w:r>
    </w:p>
    <w:p w14:paraId="1DDD94AA">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c.上传的电子投标文件无法打开的</w:t>
      </w:r>
      <w:r>
        <w:rPr>
          <w:rFonts w:hint="eastAsia" w:ascii="宋体" w:hAnsi="宋体" w:eastAsia="宋体" w:cs="宋体"/>
          <w:color w:val="000000" w:themeColor="text1"/>
          <w:highlight w:val="none"/>
          <w:lang w:val="en-US" w:eastAsia="zh-CN"/>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未按招标文件要求方式解密的电子投标文件，将作为无效投标文件；</w:t>
      </w:r>
    </w:p>
    <w:p w14:paraId="4C983967">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d.</w:t>
      </w:r>
      <w:r>
        <w:rPr>
          <w:rFonts w:hint="eastAsia" w:ascii="宋体" w:hAnsi="宋体" w:eastAsia="宋体" w:cs="宋体"/>
          <w:color w:val="000000" w:themeColor="text1"/>
          <w:highlight w:val="none"/>
          <w14:textFill>
            <w14:solidFill>
              <w14:schemeClr w14:val="tx1"/>
            </w14:solidFill>
          </w14:textFill>
        </w:rPr>
        <w:t>任何超过各</w:t>
      </w:r>
      <w:r>
        <w:rPr>
          <w:rFonts w:hint="eastAsia" w:ascii="宋体" w:hAnsi="宋体" w:eastAsia="宋体" w:cs="宋体"/>
          <w:color w:val="000000" w:themeColor="text1"/>
          <w:highlight w:val="none"/>
          <w:lang w:val="en-US" w:eastAsia="zh-CN"/>
          <w14:textFill>
            <w14:solidFill>
              <w14:schemeClr w14:val="tx1"/>
            </w14:solidFill>
          </w14:textFill>
        </w:rPr>
        <w:t>标段</w:t>
      </w:r>
      <w:r>
        <w:rPr>
          <w:rFonts w:hint="eastAsia" w:ascii="宋体" w:hAnsi="宋体" w:eastAsia="宋体" w:cs="宋体"/>
          <w:color w:val="000000" w:themeColor="text1"/>
          <w:highlight w:val="none"/>
          <w:lang w:eastAsia="zh-CN"/>
          <w14:textFill>
            <w14:solidFill>
              <w14:schemeClr w14:val="tx1"/>
            </w14:solidFill>
          </w14:textFill>
        </w:rPr>
        <w:t>最高限制价</w:t>
      </w:r>
      <w:r>
        <w:rPr>
          <w:rFonts w:hint="eastAsia" w:ascii="宋体" w:hAnsi="宋体" w:eastAsia="宋体" w:cs="宋体"/>
          <w:color w:val="000000" w:themeColor="text1"/>
          <w:highlight w:val="none"/>
          <w14:textFill>
            <w14:solidFill>
              <w14:schemeClr w14:val="tx1"/>
            </w14:solidFill>
          </w14:textFill>
        </w:rPr>
        <w:t>的报价均为无效报价</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任何有选择的报价将不予接受（不可修正或者另行备注报价表），否则按无效文件处理</w:t>
      </w:r>
      <w:r>
        <w:rPr>
          <w:rFonts w:hint="eastAsia" w:ascii="宋体" w:hAnsi="宋体" w:eastAsia="宋体" w:cs="宋体"/>
          <w:color w:val="000000" w:themeColor="text1"/>
          <w:highlight w:val="none"/>
          <w:lang w:val="en-US" w:eastAsia="zh-CN"/>
          <w14:textFill>
            <w14:solidFill>
              <w14:schemeClr w14:val="tx1"/>
            </w14:solidFill>
          </w14:textFill>
        </w:rPr>
        <w:t>；</w:t>
      </w:r>
    </w:p>
    <w:p w14:paraId="3B81655B">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e.</w:t>
      </w:r>
      <w:r>
        <w:rPr>
          <w:rFonts w:hint="eastAsia" w:ascii="宋体" w:hAnsi="宋体" w:eastAsia="宋体" w:cs="宋体"/>
          <w:color w:val="000000" w:themeColor="text1"/>
          <w:highlight w:val="none"/>
          <w14:textFill>
            <w14:solidFill>
              <w14:schemeClr w14:val="tx1"/>
            </w14:solidFill>
          </w14:textFill>
        </w:rPr>
        <w:t>供应商必须从陕西省公共资源交易中心网站下载招标文件，供应商自行转让或复制标书视为无效</w:t>
      </w:r>
      <w:r>
        <w:rPr>
          <w:rFonts w:hint="eastAsia" w:ascii="宋体" w:hAnsi="宋体" w:eastAsia="宋体" w:cs="宋体"/>
          <w:color w:val="000000" w:themeColor="text1"/>
          <w:highlight w:val="none"/>
          <w:lang w:eastAsia="zh-CN"/>
          <w14:textFill>
            <w14:solidFill>
              <w14:schemeClr w14:val="tx1"/>
            </w14:solidFill>
          </w14:textFill>
        </w:rPr>
        <w:t>。</w:t>
      </w:r>
    </w:p>
    <w:p w14:paraId="5B11A077">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f.</w:t>
      </w:r>
      <w:r>
        <w:rPr>
          <w:rFonts w:hint="eastAsia" w:ascii="宋体" w:hAnsi="宋体" w:eastAsia="宋体" w:cs="宋体"/>
          <w:color w:val="000000" w:themeColor="text1"/>
          <w:highlight w:val="none"/>
          <w14:textFill>
            <w14:solidFill>
              <w14:schemeClr w14:val="tx1"/>
            </w14:solidFill>
          </w14:textFill>
        </w:rPr>
        <w:t>不符合招标文件中规定资格条件</w:t>
      </w:r>
      <w:r>
        <w:rPr>
          <w:rFonts w:hint="eastAsia" w:ascii="宋体" w:hAnsi="宋体" w:eastAsia="宋体" w:cs="宋体"/>
          <w:color w:val="000000" w:themeColor="text1"/>
          <w:highlight w:val="none"/>
          <w:lang w:val="en-US" w:eastAsia="zh-CN"/>
          <w14:textFill>
            <w14:solidFill>
              <w14:schemeClr w14:val="tx1"/>
            </w14:solidFill>
          </w14:textFill>
        </w:rPr>
        <w:t>审查</w:t>
      </w:r>
      <w:r>
        <w:rPr>
          <w:rFonts w:hint="eastAsia" w:ascii="宋体" w:hAnsi="宋体" w:eastAsia="宋体" w:cs="宋体"/>
          <w:color w:val="000000" w:themeColor="text1"/>
          <w:highlight w:val="none"/>
          <w14:textFill>
            <w14:solidFill>
              <w14:schemeClr w14:val="tx1"/>
            </w14:solidFill>
          </w14:textFill>
        </w:rPr>
        <w:t>的</w:t>
      </w:r>
      <w:r>
        <w:rPr>
          <w:rFonts w:hint="eastAsia" w:ascii="宋体" w:hAnsi="宋体" w:eastAsia="宋体" w:cs="宋体"/>
          <w:color w:val="000000" w:themeColor="text1"/>
          <w:highlight w:val="none"/>
          <w:lang w:val="en-US" w:eastAsia="zh-CN"/>
          <w14:textFill>
            <w14:solidFill>
              <w14:schemeClr w14:val="tx1"/>
            </w14:solidFill>
          </w14:textFill>
        </w:rPr>
        <w:t>及</w:t>
      </w:r>
      <w:r>
        <w:rPr>
          <w:rFonts w:hint="eastAsia" w:ascii="宋体" w:hAnsi="宋体" w:eastAsia="宋体" w:cs="宋体"/>
          <w:color w:val="000000" w:themeColor="text1"/>
          <w:highlight w:val="none"/>
          <w14:textFill>
            <w14:solidFill>
              <w14:schemeClr w14:val="tx1"/>
            </w14:solidFill>
          </w14:textFill>
        </w:rPr>
        <w:t>不</w:t>
      </w:r>
      <w:r>
        <w:rPr>
          <w:rFonts w:hint="eastAsia" w:ascii="宋体" w:hAnsi="宋体" w:eastAsia="宋体" w:cs="宋体"/>
          <w:color w:val="000000" w:themeColor="text1"/>
          <w:highlight w:val="none"/>
          <w:lang w:val="en-US" w:eastAsia="zh-CN"/>
          <w14:textFill>
            <w14:solidFill>
              <w14:schemeClr w14:val="tx1"/>
            </w14:solidFill>
          </w14:textFill>
        </w:rPr>
        <w:t>符合</w:t>
      </w:r>
      <w:r>
        <w:rPr>
          <w:rFonts w:hint="eastAsia" w:ascii="宋体" w:hAnsi="宋体" w:eastAsia="宋体" w:cs="宋体"/>
          <w:color w:val="000000" w:themeColor="text1"/>
          <w:highlight w:val="none"/>
          <w14:textFill>
            <w14:solidFill>
              <w14:schemeClr w14:val="tx1"/>
            </w14:solidFill>
          </w14:textFill>
        </w:rPr>
        <w:t>招标文件中规定</w:t>
      </w:r>
      <w:r>
        <w:rPr>
          <w:rFonts w:hint="eastAsia" w:ascii="宋体" w:hAnsi="宋体" w:eastAsia="宋体" w:cs="宋体"/>
          <w:color w:val="000000" w:themeColor="text1"/>
          <w:highlight w:val="none"/>
          <w:lang w:val="en-US" w:eastAsia="zh-CN"/>
          <w14:textFill>
            <w14:solidFill>
              <w14:schemeClr w14:val="tx1"/>
            </w14:solidFill>
          </w14:textFill>
        </w:rPr>
        <w:t>的</w:t>
      </w:r>
      <w:r>
        <w:rPr>
          <w:rFonts w:hint="eastAsia" w:ascii="宋体" w:hAnsi="宋体" w:eastAsia="宋体" w:cs="宋体"/>
          <w:color w:val="000000" w:themeColor="text1"/>
          <w:highlight w:val="none"/>
          <w14:textFill>
            <w14:solidFill>
              <w14:schemeClr w14:val="tx1"/>
            </w14:solidFill>
          </w14:textFill>
        </w:rPr>
        <w:t>符合性审查</w:t>
      </w:r>
      <w:r>
        <w:rPr>
          <w:rFonts w:hint="eastAsia" w:ascii="宋体" w:hAnsi="宋体" w:eastAsia="宋体" w:cs="宋体"/>
          <w:color w:val="000000" w:themeColor="text1"/>
          <w:highlight w:val="none"/>
          <w:lang w:val="en-US" w:eastAsia="zh-CN"/>
          <w14:textFill>
            <w14:solidFill>
              <w14:schemeClr w14:val="tx1"/>
            </w14:solidFill>
          </w14:textFill>
        </w:rPr>
        <w:t>的（</w:t>
      </w:r>
      <w:r>
        <w:rPr>
          <w:rFonts w:hint="eastAsia" w:ascii="宋体" w:hAnsi="宋体" w:eastAsia="宋体" w:cs="宋体"/>
          <w:color w:val="000000" w:themeColor="text1"/>
          <w:highlight w:val="none"/>
          <w14:textFill>
            <w14:solidFill>
              <w14:schemeClr w14:val="tx1"/>
            </w14:solidFill>
          </w14:textFill>
        </w:rPr>
        <w:t>不符合招标文件中规定资格条件</w:t>
      </w:r>
      <w:r>
        <w:rPr>
          <w:rFonts w:hint="eastAsia" w:ascii="宋体" w:hAnsi="宋体" w:eastAsia="宋体" w:cs="宋体"/>
          <w:color w:val="000000" w:themeColor="text1"/>
          <w:highlight w:val="none"/>
          <w:lang w:val="en-US" w:eastAsia="zh-CN"/>
          <w14:textFill>
            <w14:solidFill>
              <w14:schemeClr w14:val="tx1"/>
            </w14:solidFill>
          </w14:textFill>
        </w:rPr>
        <w:t>审查的</w:t>
      </w:r>
      <w:r>
        <w:rPr>
          <w:rFonts w:hint="eastAsia" w:ascii="宋体" w:hAnsi="宋体" w:eastAsia="宋体" w:cs="宋体"/>
          <w:color w:val="000000" w:themeColor="text1"/>
          <w:highlight w:val="none"/>
          <w14:textFill>
            <w14:solidFill>
              <w14:schemeClr w14:val="tx1"/>
            </w14:solidFill>
          </w14:textFill>
        </w:rPr>
        <w:t>不得进入下一步的符合性审查</w:t>
      </w:r>
      <w:r>
        <w:rPr>
          <w:rFonts w:hint="eastAsia" w:ascii="宋体" w:hAnsi="宋体" w:eastAsia="宋体" w:cs="宋体"/>
          <w:color w:val="000000" w:themeColor="text1"/>
          <w:highlight w:val="none"/>
          <w:lang w:val="en-US" w:eastAsia="zh-CN"/>
          <w14:textFill>
            <w14:solidFill>
              <w14:schemeClr w14:val="tx1"/>
            </w14:solidFill>
          </w14:textFill>
        </w:rPr>
        <w:t>的</w:t>
      </w:r>
      <w:r>
        <w:rPr>
          <w:rFonts w:hint="eastAsia" w:ascii="宋体" w:hAnsi="宋体" w:eastAsia="宋体" w:cs="宋体"/>
          <w:color w:val="000000" w:themeColor="text1"/>
          <w:highlight w:val="none"/>
          <w14:textFill>
            <w14:solidFill>
              <w14:schemeClr w14:val="tx1"/>
            </w14:solidFill>
          </w14:textFill>
        </w:rPr>
        <w:t>评审</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w:t>
      </w:r>
    </w:p>
    <w:p w14:paraId="6B8621FB">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g.</w:t>
      </w:r>
      <w:r>
        <w:rPr>
          <w:rFonts w:hint="eastAsia" w:ascii="宋体" w:hAnsi="宋体" w:eastAsia="宋体" w:cs="宋体"/>
          <w:color w:val="000000" w:themeColor="text1"/>
          <w:highlight w:val="none"/>
          <w14:textFill>
            <w14:solidFill>
              <w14:schemeClr w14:val="tx1"/>
            </w14:solidFill>
          </w14:textFill>
        </w:rPr>
        <w:t>有下列情形之一的，视为供应商相互恶意串通投标响应，其投标文件按无效处理：</w:t>
      </w:r>
    </w:p>
    <w:p w14:paraId="7CF6AF83">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g</w:t>
      </w:r>
      <w:r>
        <w:rPr>
          <w:rFonts w:hint="eastAsia" w:ascii="宋体" w:hAnsi="宋体" w:eastAsia="宋体" w:cs="宋体"/>
          <w:color w:val="000000" w:themeColor="text1"/>
          <w:highlight w:val="none"/>
          <w14:textFill>
            <w14:solidFill>
              <w14:schemeClr w14:val="tx1"/>
            </w14:solidFill>
          </w14:textFill>
        </w:rPr>
        <w:t>-1不同供应商的投标文件由同一单位或者个人编制；</w:t>
      </w:r>
    </w:p>
    <w:p w14:paraId="686213D8">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g</w:t>
      </w:r>
      <w:r>
        <w:rPr>
          <w:rFonts w:hint="eastAsia" w:ascii="宋体" w:hAnsi="宋体" w:eastAsia="宋体" w:cs="宋体"/>
          <w:color w:val="000000" w:themeColor="text1"/>
          <w:highlight w:val="none"/>
          <w14:textFill>
            <w14:solidFill>
              <w14:schemeClr w14:val="tx1"/>
            </w14:solidFill>
          </w14:textFill>
        </w:rPr>
        <w:t>-2不同供应商委托同一单位或者个人办理投标事宜；</w:t>
      </w:r>
    </w:p>
    <w:p w14:paraId="3EEF9597">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g</w:t>
      </w:r>
      <w:r>
        <w:rPr>
          <w:rFonts w:hint="eastAsia" w:ascii="宋体" w:hAnsi="宋体" w:eastAsia="宋体" w:cs="宋体"/>
          <w:color w:val="000000" w:themeColor="text1"/>
          <w:highlight w:val="none"/>
          <w14:textFill>
            <w14:solidFill>
              <w14:schemeClr w14:val="tx1"/>
            </w14:solidFill>
          </w14:textFill>
        </w:rPr>
        <w:t>-3不同供应商的响应文件载明的项目管理成员为同一人；</w:t>
      </w:r>
    </w:p>
    <w:p w14:paraId="6B19F30E">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g</w:t>
      </w:r>
      <w:r>
        <w:rPr>
          <w:rFonts w:hint="eastAsia" w:ascii="宋体" w:hAnsi="宋体" w:eastAsia="宋体" w:cs="宋体"/>
          <w:color w:val="000000" w:themeColor="text1"/>
          <w:highlight w:val="none"/>
          <w14:textFill>
            <w14:solidFill>
              <w14:schemeClr w14:val="tx1"/>
            </w14:solidFill>
          </w14:textFill>
        </w:rPr>
        <w:t>-4不同供应商的响应文件异常一致或者投标报价呈规律性差异；</w:t>
      </w:r>
    </w:p>
    <w:p w14:paraId="5D910EC8">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w:t>
      </w:r>
      <w:r>
        <w:rPr>
          <w:rFonts w:hint="eastAsia" w:ascii="宋体" w:hAnsi="宋体" w:eastAsia="宋体" w:cs="宋体"/>
          <w:color w:val="000000" w:themeColor="text1"/>
          <w:highlight w:val="none"/>
          <w14:textFill>
            <w14:solidFill>
              <w14:schemeClr w14:val="tx1"/>
            </w14:solidFill>
          </w14:textFill>
        </w:rPr>
        <w:t>在技术、服务及商务响应程度评审中，出现下列情况之一的，投标文件视为无效：</w:t>
      </w:r>
    </w:p>
    <w:p w14:paraId="6DC5D20E">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w:t>
      </w:r>
      <w:r>
        <w:rPr>
          <w:rFonts w:hint="eastAsia" w:ascii="宋体" w:hAnsi="宋体" w:eastAsia="宋体" w:cs="宋体"/>
          <w:color w:val="000000" w:themeColor="text1"/>
          <w:highlight w:val="none"/>
          <w14:textFill>
            <w14:solidFill>
              <w14:schemeClr w14:val="tx1"/>
            </w14:solidFill>
          </w14:textFill>
        </w:rPr>
        <w:t>1.投标报价子目出现漏项或数量与招标文件要求不符的；</w:t>
      </w:r>
    </w:p>
    <w:p w14:paraId="0BA6AB05">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w:t>
      </w:r>
      <w:r>
        <w:rPr>
          <w:rFonts w:hint="eastAsia" w:ascii="宋体" w:hAnsi="宋体" w:eastAsia="宋体" w:cs="宋体"/>
          <w:color w:val="000000" w:themeColor="text1"/>
          <w:highlight w:val="none"/>
          <w14:textFill>
            <w14:solidFill>
              <w14:schemeClr w14:val="tx1"/>
            </w14:solidFill>
          </w14:textFill>
        </w:rPr>
        <w:t>2.投标报价与市场价偏离较大，低于成本，形成不正当竞争的；</w:t>
      </w:r>
    </w:p>
    <w:p w14:paraId="2750EEC8">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w:t>
      </w:r>
      <w:r>
        <w:rPr>
          <w:rFonts w:hint="eastAsia" w:ascii="宋体" w:hAnsi="宋体" w:eastAsia="宋体" w:cs="宋体"/>
          <w:color w:val="000000" w:themeColor="text1"/>
          <w:highlight w:val="none"/>
          <w14:textFill>
            <w14:solidFill>
              <w14:schemeClr w14:val="tx1"/>
            </w14:solidFill>
          </w14:textFill>
        </w:rPr>
        <w:t>3.投标内容与招标文件要求的采购标的、规格型号、采购数量、技术和服务要求等实质性内容出现重大负偏差的；</w:t>
      </w:r>
    </w:p>
    <w:p w14:paraId="0731B2CC">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w:t>
      </w:r>
      <w:r>
        <w:rPr>
          <w:rFonts w:hint="eastAsia" w:ascii="宋体" w:hAnsi="宋体" w:eastAsia="宋体" w:cs="宋体"/>
          <w:color w:val="000000" w:themeColor="text1"/>
          <w:highlight w:val="none"/>
          <w14:textFill>
            <w14:solidFill>
              <w14:schemeClr w14:val="tx1"/>
            </w14:solidFill>
          </w14:textFill>
        </w:rPr>
        <w:t>4.提供虚假技术性能指标的（出现技术指标前后矛盾的，以国家职能部门认定的指标为准）；</w:t>
      </w:r>
    </w:p>
    <w:p w14:paraId="60CE38AB">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w:t>
      </w:r>
      <w:r>
        <w:rPr>
          <w:rFonts w:hint="eastAsia" w:ascii="宋体" w:hAnsi="宋体" w:eastAsia="宋体" w:cs="宋体"/>
          <w:color w:val="000000" w:themeColor="text1"/>
          <w:highlight w:val="none"/>
          <w14:textFill>
            <w14:solidFill>
              <w14:schemeClr w14:val="tx1"/>
            </w14:solidFill>
          </w14:textFill>
        </w:rPr>
        <w:t>5.投标文件在款项结算、质量保证、验收条件等方面的响应与招标文件要求不一致或附加了采购人和评标委员会难以接受的条件的；</w:t>
      </w:r>
    </w:p>
    <w:p w14:paraId="48DB9377">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h-6.未响应招标文件合同草案条款的；</w:t>
      </w:r>
    </w:p>
    <w:p w14:paraId="379941F1">
      <w:pPr>
        <w:keepNext w:val="0"/>
        <w:keepLines w:val="0"/>
        <w:pageBreakBefore w:val="0"/>
        <w:widowControl w:val="0"/>
        <w:numPr>
          <w:ilvl w:val="0"/>
          <w:numId w:val="0"/>
        </w:numPr>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i.在投标文件资格性、有效性和完整性检查时，出现下列情况之一的，投标文件视为无效：</w:t>
      </w:r>
    </w:p>
    <w:p w14:paraId="0552BFD9">
      <w:pPr>
        <w:keepNext w:val="0"/>
        <w:keepLines w:val="0"/>
        <w:pageBreakBefore w:val="0"/>
        <w:widowControl w:val="0"/>
        <w:numPr>
          <w:ilvl w:val="0"/>
          <w:numId w:val="0"/>
        </w:numPr>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i-1.未按照招标文件规定要求签署、盖章的；</w:t>
      </w:r>
    </w:p>
    <w:p w14:paraId="561EEF17">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i-2投标文件中无投标有效期或有效期达不到招标文件要求的</w:t>
      </w:r>
      <w:r>
        <w:rPr>
          <w:rFonts w:hint="eastAsia" w:ascii="宋体" w:hAnsi="宋体" w:eastAsia="宋体" w:cs="宋体"/>
          <w:color w:val="000000" w:themeColor="text1"/>
          <w:highlight w:val="none"/>
          <w14:textFill>
            <w14:solidFill>
              <w14:schemeClr w14:val="tx1"/>
            </w14:solidFill>
          </w14:textFill>
        </w:rPr>
        <w:t>；</w:t>
      </w:r>
    </w:p>
    <w:p w14:paraId="4AA798A9">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i-3投标文件的构成缺少其中一项或某项达不到招标文件要求的</w:t>
      </w:r>
      <w:r>
        <w:rPr>
          <w:rFonts w:hint="eastAsia" w:ascii="宋体" w:hAnsi="宋体" w:eastAsia="宋体" w:cs="宋体"/>
          <w:color w:val="000000" w:themeColor="text1"/>
          <w:highlight w:val="none"/>
          <w14:textFill>
            <w14:solidFill>
              <w14:schemeClr w14:val="tx1"/>
            </w14:solidFill>
          </w14:textFill>
        </w:rPr>
        <w:t>；</w:t>
      </w:r>
    </w:p>
    <w:p w14:paraId="29A2A6AC">
      <w:pPr>
        <w:keepNext w:val="0"/>
        <w:keepLines w:val="0"/>
        <w:pageBreakBefore w:val="0"/>
        <w:widowControl w:val="0"/>
        <w:kinsoku/>
        <w:wordWrap/>
        <w:overflowPunct w:val="0"/>
        <w:topLinePunct w:val="0"/>
        <w:autoSpaceDE/>
        <w:autoSpaceDN/>
        <w:bidi w:val="0"/>
        <w:adjustRightInd/>
        <w:snapToGrid/>
        <w:spacing w:line="48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i-4供应商单位负责人为同一人或者存在直接控股、管理关系的不 同服务商，参加同一合同项下的政府采购活动的</w:t>
      </w:r>
      <w:r>
        <w:rPr>
          <w:rFonts w:hint="eastAsia" w:ascii="宋体" w:hAnsi="宋体" w:eastAsia="宋体" w:cs="宋体"/>
          <w:color w:val="000000" w:themeColor="text1"/>
          <w:highlight w:val="none"/>
          <w14:textFill>
            <w14:solidFill>
              <w14:schemeClr w14:val="tx1"/>
            </w14:solidFill>
          </w14:textFill>
        </w:rPr>
        <w:t>；</w:t>
      </w:r>
    </w:p>
    <w:p w14:paraId="064B6D54">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j.</w:t>
      </w:r>
      <w:r>
        <w:rPr>
          <w:rFonts w:hint="eastAsia" w:ascii="宋体" w:hAnsi="宋体" w:eastAsia="宋体" w:cs="宋体"/>
          <w:color w:val="000000" w:themeColor="text1"/>
          <w:highlight w:val="none"/>
          <w14:textFill>
            <w14:solidFill>
              <w14:schemeClr w14:val="tx1"/>
            </w14:solidFill>
          </w14:textFill>
        </w:rPr>
        <w:t>政府采购法律法规规定的其他无效情形。</w:t>
      </w:r>
    </w:p>
    <w:p w14:paraId="3F0125AC">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（5）特殊情形下的应急处置</w:t>
      </w:r>
    </w:p>
    <w:p w14:paraId="6627BEEF">
      <w:pPr>
        <w:keepNext w:val="0"/>
        <w:keepLines w:val="0"/>
        <w:pageBreakBefore w:val="0"/>
        <w:widowControl w:val="0"/>
        <w:kinsoku/>
        <w:wordWrap/>
        <w:overflowPunct w:val="0"/>
        <w:topLinePunct w:val="0"/>
        <w:autoSpaceDE/>
        <w:autoSpaceDN/>
        <w:bidi w:val="0"/>
        <w:adjustRightInd/>
        <w:snapToGrid/>
        <w:spacing w:line="480" w:lineRule="exact"/>
        <w:ind w:firstLine="420" w:firstLineChars="200"/>
        <w:textAlignment w:val="auto"/>
        <w:rPr>
          <w:rFonts w:hint="eastAsia" w:ascii="宋体" w:hAnsi="宋体" w:eastAsia="宋体" w:cs="宋体"/>
          <w:b/>
          <w:color w:val="000000" w:themeColor="text1"/>
          <w:sz w:val="32"/>
          <w:szCs w:val="20"/>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在开标、评审过程中，如因停电、断网、电子化系统故障等特殊原因导致电子化开、评标无法正常进行时， 按照《安康市公共资源交易平台电子化交易应急处置管理办法(试行)》规定执行。</w:t>
      </w:r>
    </w:p>
    <w:p w14:paraId="62B6E1FB">
      <w:pPr>
        <w:keepLines w:val="0"/>
        <w:pageBreakBefore w:val="0"/>
        <w:overflowPunct w:val="0"/>
        <w:topLinePunct w:val="0"/>
        <w:bidi w:val="0"/>
        <w:rPr>
          <w:rFonts w:hint="eastAsia" w:ascii="宋体" w:hAnsi="宋体" w:eastAsia="宋体" w:cs="宋体"/>
          <w:b/>
          <w:bCs/>
          <w:color w:val="000000" w:themeColor="text1"/>
          <w:sz w:val="36"/>
          <w:szCs w:val="36"/>
          <w:highlight w:val="none"/>
          <w:lang w:val="zh-CN"/>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br w:type="page"/>
      </w:r>
    </w:p>
    <w:bookmarkEnd w:id="1"/>
    <w:p w14:paraId="3D1004B8">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p w14:paraId="5D214AC9">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sdt>
      <w:sdtP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id w:val="147482787"/>
        <w15:color w:val="DBDBDB"/>
        <w:docPartObj>
          <w:docPartGallery w:val="Table of Contents"/>
          <w:docPartUnique/>
        </w:docPartObj>
      </w:sdtPr>
      <w:sdtEndP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sdtEndPr>
      <w:sdtContent>
        <w:p w14:paraId="33262ED6">
          <w:pPr>
            <w:spacing w:before="0" w:beforeLines="0" w:after="0" w:afterLines="0" w:line="240" w:lineRule="auto"/>
            <w:ind w:left="0" w:leftChars="0" w:right="0" w:rightChars="0" w:firstLine="0" w:firstLineChars="0"/>
            <w:jc w:val="center"/>
            <w:rPr>
              <w:color w:val="000000" w:themeColor="text1"/>
              <w:sz w:val="36"/>
              <w:szCs w:val="44"/>
              <w:highlight w:val="none"/>
              <w14:textFill>
                <w14:solidFill>
                  <w14:schemeClr w14:val="tx1"/>
                </w14:solidFill>
              </w14:textFill>
            </w:rPr>
          </w:pPr>
          <w:r>
            <w:rPr>
              <w:rFonts w:ascii="宋体" w:hAnsi="宋体" w:eastAsia="宋体"/>
              <w:color w:val="000000" w:themeColor="text1"/>
              <w:sz w:val="36"/>
              <w:szCs w:val="44"/>
              <w:highlight w:val="none"/>
              <w14:textFill>
                <w14:solidFill>
                  <w14:schemeClr w14:val="tx1"/>
                </w14:solidFill>
              </w14:textFill>
            </w:rPr>
            <w:t>目录</w:t>
          </w:r>
        </w:p>
        <w:p w14:paraId="2E4F9A10">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p>
        <w:p w14:paraId="02D57604">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_Toc9688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36"/>
              <w:highlight w:val="none"/>
              <w14:textFill>
                <w14:solidFill>
                  <w14:schemeClr w14:val="tx1"/>
                </w14:solidFill>
              </w14:textFill>
            </w:rPr>
            <w:t>第一章  竞争性谈判公告</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_Toc9688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- 6 -</w:t>
          </w:r>
          <w:r>
            <w:rPr>
              <w:color w:val="000000" w:themeColor="text1"/>
              <w:sz w:val="28"/>
              <w:szCs w:val="36"/>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26E33F76">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_Toc18063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hAnsi="Times New Roman" w:cs="Times New Roman"/>
              <w:color w:val="000000" w:themeColor="text1"/>
              <w:sz w:val="28"/>
              <w:szCs w:val="36"/>
              <w:highlight w:val="none"/>
              <w14:textFill>
                <w14:solidFill>
                  <w14:schemeClr w14:val="tx1"/>
                </w14:solidFill>
              </w14:textFill>
            </w:rPr>
            <w:t>第二章  供应商须知</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_Toc18063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- 10 -</w:t>
          </w:r>
          <w:r>
            <w:rPr>
              <w:color w:val="000000" w:themeColor="text1"/>
              <w:sz w:val="28"/>
              <w:szCs w:val="36"/>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69C74D2F">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_Toc24057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hAnsi="Times New Roman" w:cs="Times New Roman"/>
              <w:color w:val="000000" w:themeColor="text1"/>
              <w:sz w:val="28"/>
              <w:szCs w:val="36"/>
              <w:highlight w:val="none"/>
              <w14:textFill>
                <w14:solidFill>
                  <w14:schemeClr w14:val="tx1"/>
                </w14:solidFill>
              </w14:textFill>
            </w:rPr>
            <w:t>第三章  评审办法</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_Toc24057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- 31 -</w:t>
          </w:r>
          <w:r>
            <w:rPr>
              <w:color w:val="000000" w:themeColor="text1"/>
              <w:sz w:val="28"/>
              <w:szCs w:val="36"/>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1393C6D6">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_Toc7891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36"/>
              <w:highlight w:val="none"/>
              <w:lang w:val="en-US" w:eastAsia="zh-CN"/>
              <w14:textFill>
                <w14:solidFill>
                  <w14:schemeClr w14:val="tx1"/>
                </w14:solidFill>
              </w14:textFill>
            </w:rPr>
            <w:t>第四章</w:t>
          </w:r>
          <w:r>
            <w:rPr>
              <w:rFonts w:hint="eastAsia"/>
              <w:color w:val="000000" w:themeColor="text1"/>
              <w:sz w:val="28"/>
              <w:szCs w:val="36"/>
              <w:highlight w:val="none"/>
              <w14:textFill>
                <w14:solidFill>
                  <w14:schemeClr w14:val="tx1"/>
                </w14:solidFill>
              </w14:textFill>
            </w:rPr>
            <w:t xml:space="preserve"> 采购内容及技术要求</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_Toc7891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- 40 -</w:t>
          </w:r>
          <w:r>
            <w:rPr>
              <w:color w:val="000000" w:themeColor="text1"/>
              <w:sz w:val="28"/>
              <w:szCs w:val="36"/>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49465AFE">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_Toc17353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hAnsi="Times New Roman" w:cs="Times New Roman"/>
              <w:color w:val="000000" w:themeColor="text1"/>
              <w:sz w:val="28"/>
              <w:szCs w:val="36"/>
              <w:highlight w:val="none"/>
              <w:lang w:val="en-US" w:eastAsia="zh-CN"/>
              <w14:textFill>
                <w14:solidFill>
                  <w14:schemeClr w14:val="tx1"/>
                </w14:solidFill>
              </w14:textFill>
            </w:rPr>
            <w:t>第五章  合同主要条款</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_Toc17353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- 42 -</w:t>
          </w:r>
          <w:r>
            <w:rPr>
              <w:color w:val="000000" w:themeColor="text1"/>
              <w:sz w:val="28"/>
              <w:szCs w:val="36"/>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3E6F27DB">
          <w:pPr>
            <w:pStyle w:val="15"/>
            <w:tabs>
              <w:tab w:val="right" w:leader="middleDot" w:pos="9016"/>
            </w:tabs>
            <w:spacing w:line="480" w:lineRule="auto"/>
            <w:rPr>
              <w:color w:val="000000" w:themeColor="text1"/>
              <w:sz w:val="28"/>
              <w:szCs w:val="36"/>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_Toc23994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hAnsi="Times New Roman" w:cs="Times New Roman"/>
              <w:color w:val="000000" w:themeColor="text1"/>
              <w:sz w:val="28"/>
              <w:szCs w:val="36"/>
              <w:highlight w:val="none"/>
              <w:lang w:val="en-US" w:eastAsia="zh-CN"/>
              <w14:textFill>
                <w14:solidFill>
                  <w14:schemeClr w14:val="tx1"/>
                </w14:solidFill>
              </w14:textFill>
            </w:rPr>
            <w:t>第六章  竞争性谈判响应文件格式</w:t>
          </w:r>
          <w:r>
            <w:rPr>
              <w:color w:val="000000" w:themeColor="text1"/>
              <w:sz w:val="28"/>
              <w:szCs w:val="36"/>
              <w:highlight w:val="none"/>
              <w14:textFill>
                <w14:solidFill>
                  <w14:schemeClr w14:val="tx1"/>
                </w14:solidFill>
              </w14:textFill>
            </w:rPr>
            <w:tab/>
          </w: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PAGEREF _Toc23994 \h </w:instrText>
          </w:r>
          <w:r>
            <w:rPr>
              <w:color w:val="000000" w:themeColor="text1"/>
              <w:sz w:val="28"/>
              <w:szCs w:val="36"/>
              <w:highlight w:val="none"/>
              <w14:textFill>
                <w14:solidFill>
                  <w14:schemeClr w14:val="tx1"/>
                </w14:solidFill>
              </w14:textFill>
            </w:rPr>
            <w:fldChar w:fldCharType="separate"/>
          </w:r>
          <w:r>
            <w:rPr>
              <w:color w:val="000000" w:themeColor="text1"/>
              <w:sz w:val="28"/>
              <w:szCs w:val="36"/>
              <w:highlight w:val="none"/>
              <w14:textFill>
                <w14:solidFill>
                  <w14:schemeClr w14:val="tx1"/>
                </w14:solidFill>
              </w14:textFill>
            </w:rPr>
            <w:t>- 44 -</w:t>
          </w:r>
          <w:r>
            <w:rPr>
              <w:color w:val="000000" w:themeColor="text1"/>
              <w:sz w:val="28"/>
              <w:szCs w:val="36"/>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p>
        <w:p w14:paraId="19AE4C85">
          <w:pPr>
            <w:pStyle w:val="16"/>
            <w:keepLines w:val="0"/>
            <w:pageBreakBefore w:val="0"/>
            <w:tabs>
              <w:tab w:val="right" w:leader="dot" w:pos="9458"/>
            </w:tabs>
            <w:overflowPunct w:val="0"/>
            <w:topLinePunct w:val="0"/>
            <w:bidi w:val="0"/>
            <w:spacing w:line="480" w:lineRule="auto"/>
            <w:ind w:left="0" w:leftChars="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p>
      </w:sdtContent>
    </w:sdt>
    <w:p w14:paraId="0D41FE43">
      <w:pPr>
        <w:rPr>
          <w:rFonts w:hint="eastAsia"/>
          <w:color w:val="000000" w:themeColor="text1"/>
          <w:highlight w:val="none"/>
          <w14:textFill>
            <w14:solidFill>
              <w14:schemeClr w14:val="tx1"/>
            </w14:solidFill>
          </w14:textFill>
        </w:rPr>
      </w:pPr>
    </w:p>
    <w:p w14:paraId="6046CEF7">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p w14:paraId="337EED44">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p w14:paraId="004EA3AE">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p w14:paraId="5E36C18A">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p w14:paraId="18C6A023">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Cs w:val="21"/>
          <w:highlight w:val="none"/>
          <w14:textFill>
            <w14:solidFill>
              <w14:schemeClr w14:val="tx1"/>
            </w14:solidFill>
          </w14:textFill>
        </w:rPr>
      </w:pPr>
    </w:p>
    <w:p w14:paraId="621E6C25">
      <w:pPr>
        <w:pStyle w:val="16"/>
        <w:keepLines w:val="0"/>
        <w:pageBreakBefore w:val="0"/>
        <w:tabs>
          <w:tab w:val="right" w:leader="dot" w:pos="9458"/>
        </w:tabs>
        <w:overflowPunct w:val="0"/>
        <w:topLinePunct w:val="0"/>
        <w:bidi w:val="0"/>
        <w:spacing w:line="600" w:lineRule="exact"/>
        <w:ind w:left="0" w:leftChars="0"/>
        <w:rPr>
          <w:rFonts w:hint="eastAsia" w:ascii="宋体" w:hAnsi="宋体" w:eastAsia="宋体" w:cs="宋体"/>
          <w:color w:val="000000" w:themeColor="text1"/>
          <w:sz w:val="36"/>
          <w:szCs w:val="36"/>
          <w:highlight w:val="none"/>
          <w14:textFill>
            <w14:solidFill>
              <w14:schemeClr w14:val="tx1"/>
            </w14:solidFill>
          </w14:textFill>
        </w:rPr>
      </w:pPr>
      <w:bookmarkStart w:id="4" w:name="_Toc204055778"/>
      <w:bookmarkStart w:id="5" w:name="_Toc222740105"/>
    </w:p>
    <w:p w14:paraId="74FF2D5B">
      <w:pPr>
        <w:keepLines w:val="0"/>
        <w:pageBreakBefore w:val="0"/>
        <w:overflowPunct w:val="0"/>
        <w:topLinePunct w:val="0"/>
        <w:bidi w:val="0"/>
        <w:rPr>
          <w:rFonts w:hint="eastAsia" w:ascii="宋体" w:hAnsi="宋体" w:eastAsia="宋体" w:cs="宋体"/>
          <w:color w:val="000000" w:themeColor="text1"/>
          <w:sz w:val="36"/>
          <w:szCs w:val="36"/>
          <w:highlight w:val="none"/>
          <w14:textFill>
            <w14:solidFill>
              <w14:schemeClr w14:val="tx1"/>
            </w14:solidFill>
          </w14:textFill>
        </w:rPr>
      </w:pPr>
    </w:p>
    <w:p w14:paraId="74FEEE51">
      <w:pPr>
        <w:keepLines w:val="0"/>
        <w:pageBreakBefore w:val="0"/>
        <w:overflowPunct w:val="0"/>
        <w:topLinePunct w:val="0"/>
        <w:bidi w:val="0"/>
        <w:rPr>
          <w:rFonts w:hint="eastAsia" w:ascii="宋体" w:hAnsi="宋体" w:eastAsia="宋体" w:cs="宋体"/>
          <w:color w:val="000000" w:themeColor="text1"/>
          <w:sz w:val="36"/>
          <w:szCs w:val="36"/>
          <w:highlight w:val="none"/>
          <w14:textFill>
            <w14:solidFill>
              <w14:schemeClr w14:val="tx1"/>
            </w14:solidFill>
          </w14:textFill>
        </w:rPr>
      </w:pPr>
    </w:p>
    <w:p w14:paraId="0024E5D6">
      <w:pPr>
        <w:keepLines w:val="0"/>
        <w:pageBreakBefore w:val="0"/>
        <w:overflowPunct w:val="0"/>
        <w:topLinePunct w:val="0"/>
        <w:bidi w:val="0"/>
        <w:rPr>
          <w:rFonts w:hint="eastAsia" w:ascii="宋体" w:hAnsi="宋体" w:eastAsia="宋体" w:cs="宋体"/>
          <w:color w:val="000000" w:themeColor="text1"/>
          <w:sz w:val="36"/>
          <w:szCs w:val="36"/>
          <w:highlight w:val="none"/>
          <w14:textFill>
            <w14:solidFill>
              <w14:schemeClr w14:val="tx1"/>
            </w14:solidFill>
          </w14:textFill>
        </w:rPr>
      </w:pPr>
    </w:p>
    <w:p w14:paraId="2B32B560">
      <w:pPr>
        <w:keepLines w:val="0"/>
        <w:pageBreakBefore w:val="0"/>
        <w:overflowPunct w:val="0"/>
        <w:topLinePunct w:val="0"/>
        <w:bidi w:val="0"/>
        <w:rPr>
          <w:rFonts w:hint="eastAsia" w:ascii="宋体" w:hAnsi="宋体" w:eastAsia="宋体" w:cs="宋体"/>
          <w:color w:val="000000" w:themeColor="text1"/>
          <w:sz w:val="36"/>
          <w:szCs w:val="36"/>
          <w:highlight w:val="none"/>
          <w14:textFill>
            <w14:solidFill>
              <w14:schemeClr w14:val="tx1"/>
            </w14:solidFill>
          </w14:textFill>
        </w:rPr>
      </w:pPr>
    </w:p>
    <w:bookmarkEnd w:id="2"/>
    <w:bookmarkEnd w:id="4"/>
    <w:bookmarkEnd w:id="5"/>
    <w:p w14:paraId="56B8616E">
      <w:pPr>
        <w:pStyle w:val="3"/>
        <w:keepLines w:val="0"/>
        <w:pageBreakBefore w:val="0"/>
        <w:numPr>
          <w:ilvl w:val="0"/>
          <w:numId w:val="0"/>
        </w:numPr>
        <w:overflowPunct w:val="0"/>
        <w:topLinePunct w:val="0"/>
        <w:bidi w:val="0"/>
        <w:ind w:left="0" w:leftChars="0" w:firstLine="0" w:firstLineChars="0"/>
        <w:outlineLvl w:val="9"/>
        <w:rPr>
          <w:rFonts w:hint="eastAsia" w:ascii="宋体" w:hAnsi="宋体" w:eastAsia="宋体" w:cs="宋体"/>
          <w:b/>
          <w:bCs/>
          <w:color w:val="000000" w:themeColor="text1"/>
          <w:sz w:val="36"/>
          <w:szCs w:val="36"/>
          <w:highlight w:val="none"/>
          <w14:textFill>
            <w14:solidFill>
              <w14:schemeClr w14:val="tx1"/>
            </w14:solidFill>
          </w14:textFill>
        </w:rPr>
        <w:sectPr>
          <w:footerReference r:id="rId4" w:type="default"/>
          <w:footnotePr>
            <w:numFmt w:val="decimalEnclosedCircleChinese"/>
            <w:numRestart w:val="eachPage"/>
          </w:footnotePr>
          <w:pgSz w:w="11907" w:h="16840"/>
          <w:pgMar w:top="1440" w:right="1417" w:bottom="1440" w:left="1474" w:header="720" w:footer="1020" w:gutter="0"/>
          <w:pgBorders>
            <w:top w:val="none" w:sz="0" w:space="0"/>
            <w:left w:val="none" w:sz="0" w:space="0"/>
            <w:bottom w:val="none" w:sz="0" w:space="0"/>
            <w:right w:val="none" w:sz="0" w:space="0"/>
          </w:pgBorders>
          <w:pgNumType w:fmt="numberInDash" w:start="1"/>
          <w:cols w:space="720" w:num="1"/>
        </w:sectPr>
      </w:pPr>
    </w:p>
    <w:p w14:paraId="4BA9F62B">
      <w:pPr>
        <w:pStyle w:val="3"/>
        <w:numPr>
          <w:ilvl w:val="0"/>
          <w:numId w:val="0"/>
        </w:numPr>
        <w:tabs>
          <w:tab w:val="clear" w:pos="324"/>
        </w:tabs>
        <w:bidi w:val="0"/>
        <w:ind w:leftChars="0"/>
        <w:rPr>
          <w:rFonts w:hint="eastAsia"/>
          <w:color w:val="000000" w:themeColor="text1"/>
          <w:highlight w:val="none"/>
          <w14:textFill>
            <w14:solidFill>
              <w14:schemeClr w14:val="tx1"/>
            </w14:solidFill>
          </w14:textFill>
        </w:rPr>
      </w:pPr>
      <w:bookmarkStart w:id="6" w:name="_Toc10503"/>
      <w:bookmarkStart w:id="7" w:name="_Toc9688"/>
      <w:r>
        <w:rPr>
          <w:rFonts w:hint="eastAsia"/>
          <w:color w:val="000000" w:themeColor="text1"/>
          <w:highlight w:val="none"/>
          <w14:textFill>
            <w14:solidFill>
              <w14:schemeClr w14:val="tx1"/>
            </w14:solidFill>
          </w14:textFill>
        </w:rPr>
        <w:t>第一章  竞争性谈判公告</w:t>
      </w:r>
      <w:bookmarkEnd w:id="6"/>
      <w:bookmarkEnd w:id="7"/>
    </w:p>
    <w:p w14:paraId="60F89C5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120" w:beforeAutospacing="0" w:after="120" w:afterAutospacing="0" w:line="360" w:lineRule="auto"/>
        <w:ind w:left="0" w:leftChars="0" w:right="0" w:rightChars="0"/>
        <w:jc w:val="left"/>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bookmarkStart w:id="8" w:name="_Toc196474973"/>
      <w:bookmarkStart w:id="9" w:name="_Toc204055781"/>
      <w:bookmarkStart w:id="10" w:name="_Toc222740108"/>
      <w:bookmarkStart w:id="11" w:name="_Toc404444231"/>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项目概况</w:t>
      </w:r>
    </w:p>
    <w:p w14:paraId="1106DDA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120" w:beforeAutospacing="0" w:after="12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增补叶酸预防神经管缺陷项目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采购项目的潜在供应商应在全国公共资源交易中心平台 (陕西省.安康市)获取采购文件，并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于</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2026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29</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时00分</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（北京时间）前提交响应文件。</w:t>
      </w:r>
    </w:p>
    <w:p w14:paraId="739055B1">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一、项目基本情况</w:t>
      </w:r>
    </w:p>
    <w:p w14:paraId="4E45917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项目编号：</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HHZY-2026-13</w:t>
      </w:r>
    </w:p>
    <w:p w14:paraId="55B603B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项目名称：</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增补叶酸预防神经管缺陷项目</w:t>
      </w:r>
    </w:p>
    <w:p w14:paraId="12FCC08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采购方式：竞争性谈判</w:t>
      </w:r>
    </w:p>
    <w:p w14:paraId="59BFBD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预算金额：</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400,000.00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元</w:t>
      </w:r>
    </w:p>
    <w:p w14:paraId="37113F6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采购需求：</w:t>
      </w:r>
    </w:p>
    <w:p w14:paraId="5800F74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增补叶酸预防神经管缺陷项目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45EBB3E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816" w:firstLineChars="34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合同包预算金额：</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400,000.00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元</w:t>
      </w:r>
    </w:p>
    <w:p w14:paraId="0511F28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816" w:firstLineChars="34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合同包最高限价：</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400,000.00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元</w:t>
      </w:r>
    </w:p>
    <w:tbl>
      <w:tblPr>
        <w:tblStyle w:val="20"/>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7"/>
        <w:gridCol w:w="2051"/>
        <w:gridCol w:w="1540"/>
        <w:gridCol w:w="1159"/>
        <w:gridCol w:w="2069"/>
        <w:gridCol w:w="1787"/>
      </w:tblGrid>
      <w:tr w14:paraId="611A13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09"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96699FA">
            <w:pPr>
              <w:keepNext w:val="0"/>
              <w:keepLines w:val="0"/>
              <w:pageBreakBefore w:val="0"/>
              <w:widowControl/>
              <w:suppressLineNumbers w:val="0"/>
              <w:wordWrap w:val="0"/>
              <w:overflowPunct w:val="0"/>
              <w:topLinePunct w:val="0"/>
              <w:bidi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lang w:val="en-US" w:eastAsia="zh-CN" w:bidi="ar"/>
                <w14:textFill>
                  <w14:solidFill>
                    <w14:schemeClr w14:val="tx1"/>
                  </w14:solidFill>
                </w14:textFill>
              </w:rPr>
              <w:t>品目号</w:t>
            </w:r>
          </w:p>
        </w:tc>
        <w:tc>
          <w:tcPr>
            <w:tcW w:w="1093"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141A7CF">
            <w:pPr>
              <w:keepNext w:val="0"/>
              <w:keepLines w:val="0"/>
              <w:pageBreakBefore w:val="0"/>
              <w:widowControl/>
              <w:suppressLineNumbers w:val="0"/>
              <w:wordWrap w:val="0"/>
              <w:overflowPunct w:val="0"/>
              <w:topLinePunct w:val="0"/>
              <w:bidi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lang w:val="en-US" w:eastAsia="zh-CN" w:bidi="ar"/>
                <w14:textFill>
                  <w14:solidFill>
                    <w14:schemeClr w14:val="tx1"/>
                  </w14:solidFill>
                </w14:textFill>
              </w:rPr>
              <w:t>品目名称</w:t>
            </w:r>
          </w:p>
        </w:tc>
        <w:tc>
          <w:tcPr>
            <w:tcW w:w="821"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E521F71">
            <w:pPr>
              <w:keepNext w:val="0"/>
              <w:keepLines w:val="0"/>
              <w:pageBreakBefore w:val="0"/>
              <w:widowControl/>
              <w:suppressLineNumbers w:val="0"/>
              <w:wordWrap w:val="0"/>
              <w:overflowPunct w:val="0"/>
              <w:topLinePunct w:val="0"/>
              <w:bidi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lang w:val="en-US" w:eastAsia="zh-CN" w:bidi="ar"/>
                <w14:textFill>
                  <w14:solidFill>
                    <w14:schemeClr w14:val="tx1"/>
                  </w14:solidFill>
                </w14:textFill>
              </w:rPr>
              <w:t>采购标的</w:t>
            </w:r>
          </w:p>
        </w:tc>
        <w:tc>
          <w:tcPr>
            <w:tcW w:w="618"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F4B4F40">
            <w:pPr>
              <w:keepNext w:val="0"/>
              <w:keepLines w:val="0"/>
              <w:pageBreakBefore w:val="0"/>
              <w:widowControl/>
              <w:suppressLineNumbers w:val="0"/>
              <w:wordWrap w:val="0"/>
              <w:overflowPunct w:val="0"/>
              <w:topLinePunct w:val="0"/>
              <w:bidi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lang w:val="en-US" w:eastAsia="zh-CN" w:bidi="ar"/>
                <w14:textFill>
                  <w14:solidFill>
                    <w14:schemeClr w14:val="tx1"/>
                  </w14:solidFill>
                </w14:textFill>
              </w:rPr>
              <w:t>数量（单位）</w:t>
            </w:r>
          </w:p>
        </w:tc>
        <w:tc>
          <w:tcPr>
            <w:tcW w:w="1103"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558D1B2">
            <w:pPr>
              <w:keepNext w:val="0"/>
              <w:keepLines w:val="0"/>
              <w:pageBreakBefore w:val="0"/>
              <w:widowControl/>
              <w:suppressLineNumbers w:val="0"/>
              <w:wordWrap w:val="0"/>
              <w:overflowPunct w:val="0"/>
              <w:topLinePunct w:val="0"/>
              <w:bidi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lang w:val="en-US" w:eastAsia="zh-CN" w:bidi="ar"/>
                <w14:textFill>
                  <w14:solidFill>
                    <w14:schemeClr w14:val="tx1"/>
                  </w14:solidFill>
                </w14:textFill>
              </w:rPr>
              <w:t>技术规格、参数及要求</w:t>
            </w:r>
          </w:p>
        </w:tc>
        <w:tc>
          <w:tcPr>
            <w:tcW w:w="952"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1B7E184">
            <w:pPr>
              <w:keepNext w:val="0"/>
              <w:keepLines w:val="0"/>
              <w:pageBreakBefore w:val="0"/>
              <w:widowControl/>
              <w:suppressLineNumbers w:val="0"/>
              <w:wordWrap w:val="0"/>
              <w:overflowPunct w:val="0"/>
              <w:topLinePunct w:val="0"/>
              <w:bidi w:val="0"/>
              <w:spacing w:before="0" w:beforeAutospacing="0" w:after="0" w:afterAutospacing="0" w:line="360" w:lineRule="auto"/>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lang w:val="en-US" w:eastAsia="zh-CN" w:bidi="ar"/>
                <w14:textFill>
                  <w14:solidFill>
                    <w14:schemeClr w14:val="tx1"/>
                  </w14:solidFill>
                </w14:textFill>
              </w:rPr>
              <w:t>品目预算(元)</w:t>
            </w:r>
          </w:p>
        </w:tc>
      </w:tr>
      <w:tr w14:paraId="1F46BC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4" w:hRule="atLeast"/>
        </w:trPr>
        <w:tc>
          <w:tcPr>
            <w:tcW w:w="409"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top"/>
          </w:tcPr>
          <w:p w14:paraId="10CABBF2">
            <w:pPr>
              <w:pStyle w:val="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w:t>
            </w:r>
          </w:p>
        </w:tc>
        <w:tc>
          <w:tcPr>
            <w:tcW w:w="1093"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top"/>
          </w:tcPr>
          <w:p w14:paraId="2EC261D8">
            <w:pPr>
              <w:pStyle w:val="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其他维生素类</w:t>
            </w:r>
          </w:p>
        </w:tc>
        <w:tc>
          <w:tcPr>
            <w:tcW w:w="821"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top"/>
          </w:tcPr>
          <w:p w14:paraId="49D2B07C">
            <w:pPr>
              <w:pStyle w:val="23"/>
              <w:spacing w:line="36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叶酸片</w:t>
            </w:r>
          </w:p>
        </w:tc>
        <w:tc>
          <w:tcPr>
            <w:tcW w:w="618"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top"/>
          </w:tcPr>
          <w:p w14:paraId="38C3064A">
            <w:pPr>
              <w:pStyle w:val="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cs="宋体"/>
                <w:color w:val="000000" w:themeColor="text1"/>
                <w:sz w:val="22"/>
                <w:szCs w:val="22"/>
                <w:lang w:val="en-US" w:eastAsia="zh-CN"/>
                <w14:textFill>
                  <w14:solidFill>
                    <w14:schemeClr w14:val="tx1"/>
                  </w14:solidFill>
                </w14:textFill>
              </w:rPr>
              <w:t>批</w:t>
            </w:r>
            <w:r>
              <w:rPr>
                <w:rFonts w:hint="eastAsia" w:ascii="宋体" w:hAnsi="宋体" w:eastAsia="宋体" w:cs="宋体"/>
                <w:color w:val="000000" w:themeColor="text1"/>
                <w:sz w:val="22"/>
                <w:szCs w:val="22"/>
                <w14:textFill>
                  <w14:solidFill>
                    <w14:schemeClr w14:val="tx1"/>
                  </w14:solidFill>
                </w14:textFill>
              </w:rPr>
              <w:t>)</w:t>
            </w:r>
          </w:p>
        </w:tc>
        <w:tc>
          <w:tcPr>
            <w:tcW w:w="1103"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top"/>
          </w:tcPr>
          <w:p w14:paraId="17FCC21F">
            <w:pPr>
              <w:pStyle w:val="23"/>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详见采购文件</w:t>
            </w:r>
          </w:p>
        </w:tc>
        <w:tc>
          <w:tcPr>
            <w:tcW w:w="952" w:type="pct"/>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top"/>
          </w:tcPr>
          <w:p w14:paraId="52F3C293">
            <w:pPr>
              <w:pStyle w:val="23"/>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400,000.00</w:t>
            </w:r>
          </w:p>
        </w:tc>
      </w:tr>
    </w:tbl>
    <w:p w14:paraId="2DE9006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50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本合同包不接受联合体投标</w:t>
      </w:r>
    </w:p>
    <w:p w14:paraId="3D50394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50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合同履行期限：</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2年</w:t>
      </w:r>
    </w:p>
    <w:p w14:paraId="2DA36DD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二、申请人的资格要求：</w:t>
      </w:r>
    </w:p>
    <w:p w14:paraId="21098FD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1.满足《中华人民共和国政府采购法》第二十二条规定;</w:t>
      </w:r>
    </w:p>
    <w:p w14:paraId="7AF68AB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2.落实政府采购政策需满足的资格要求：</w:t>
      </w:r>
    </w:p>
    <w:p w14:paraId="2CDBE1A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增补叶酸预防神经管缺陷项目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)落实政府采购政策需满足的资格要求如下:</w:t>
      </w:r>
    </w:p>
    <w:p w14:paraId="0D01A1C8">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lang w:val="en-US" w:eastAsia="zh-CN" w:bidi="ar-SA"/>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《财政部国家发展改革委关于印发〈节能产品政府采购实施意见〉的通知》（财库〔2004〕185号）；</w:t>
      </w:r>
    </w:p>
    <w:p w14:paraId="6FC1FCF5">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《财政部环保总局关于环境标志产品政府采购实施的意见》（财库〔2006〕90号）；</w:t>
      </w:r>
    </w:p>
    <w:p w14:paraId="13B52220">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《国务院办公厅关于建立政府强制采购节能产品制度的通知》（国办发〔2007〕51号）；</w:t>
      </w:r>
    </w:p>
    <w:p w14:paraId="0047974E">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《财政部司法部关于政府采购支持监狱企业发展有关问题的通知》（财库〔2014〕68号）；</w:t>
      </w:r>
    </w:p>
    <w:p w14:paraId="760669CD">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《三部门联合发布关于促进残疾人就业政府采购政策的通知》（财库〔2017〕141号）；</w:t>
      </w:r>
    </w:p>
    <w:p w14:paraId="166C09D4">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《陕西省中小企业政府采购信用融资办法》（陕财办采〔2018〕23号）；</w:t>
      </w:r>
    </w:p>
    <w:p w14:paraId="3EF2726B">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《财政部发展改革委生态环境部市场监管总局关于调整优化节能产品、环境标志产品政府采购执行机制的通知》（财库〔2019〕9号）；</w:t>
      </w:r>
    </w:p>
    <w:p w14:paraId="64D477EA">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《关于印发环境标志产品政府采购品目清单的通知》(财库〔2019〕18号)；</w:t>
      </w:r>
    </w:p>
    <w:p w14:paraId="15A5CD21">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《关于印发节能产品政府采购品目清单的通知》（财库〔2019〕19号）；</w:t>
      </w:r>
    </w:p>
    <w:p w14:paraId="27D3D353">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《关于运用政府采购政策支持脱贫攻坚的通知》（财库〔2019〕27号）；</w:t>
      </w:r>
    </w:p>
    <w:p w14:paraId="2558DECA">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（11）</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《陕西省财政厅关于加快推进我省中小企业政府采购信用融资工作的通知》（陕财办采〔2020〕15号）；</w:t>
      </w:r>
    </w:p>
    <w:p w14:paraId="2D271210">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（12）</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关于印发《政府采购促进中小企业发展管理办法》的通知（财库〔2020〕46号）；</w:t>
      </w:r>
    </w:p>
    <w:p w14:paraId="53AE6A3E">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（13）</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《关于运用政府采购政策支持乡村产业振兴的通知》（财库〔2021〕19号）；</w:t>
      </w:r>
    </w:p>
    <w:p w14:paraId="7FAE0D1F">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（14）</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财政部关于进一步加大政府采购支持中小企业力度的通知（财库〔2022〕19号）；</w:t>
      </w:r>
    </w:p>
    <w:p w14:paraId="2E29B512">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（15）</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其他需要落实的政府采购政策。</w:t>
      </w:r>
    </w:p>
    <w:p w14:paraId="31F6063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val="0"/>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3.本项目的特定资格要求：</w:t>
      </w:r>
    </w:p>
    <w:p w14:paraId="1B986B4A">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wordWrap/>
        <w:overflowPunct w:val="0"/>
        <w:topLinePunct w:val="0"/>
        <w:bidi w:val="0"/>
        <w:spacing w:before="0" w:beforeAutospacing="0" w:after="0" w:afterAutospacing="0" w:line="360" w:lineRule="auto"/>
        <w:ind w:left="0" w:right="0" w:firstLine="676" w:firstLineChars="282"/>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合同包1(</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增补叶酸预防神经管缺陷项目</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)特定资格要求如下:</w:t>
      </w:r>
    </w:p>
    <w:p w14:paraId="66EE5362">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具有独立承担民事责任的能力，提供营业执照、税务登记证、组织机构代码证或登载有统一社会信用代码的营业执照（或《事业单位法人证书》或其他合法组织登记证书、自然人只须提交身份证复印件）</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p>
    <w:p w14:paraId="1BFE9D75">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t>提供法定代表人授权书（附法定代表人身份证复印件）及被授权代表身份证复印件（法定代表人直接参加只须提供法定代表人身份证复印件）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02B113D3">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财务状况报告：</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提供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p>
    <w:p w14:paraId="19D35394">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税收缴纳证明</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t>:</w:t>
      </w:r>
      <w:r>
        <w:rPr>
          <w:rFonts w:hint="eastAsia" w:cs="宋体"/>
          <w:b w:val="0"/>
          <w:bCs w:val="0"/>
          <w:i w:val="0"/>
          <w:iCs w:val="0"/>
          <w:caps w:val="0"/>
          <w:color w:val="000000" w:themeColor="text1"/>
          <w:spacing w:val="0"/>
          <w:sz w:val="24"/>
          <w:szCs w:val="24"/>
          <w:highlight w:val="none"/>
          <w:u w:val="none"/>
          <w:shd w:val="clear" w:fill="FFFFFF"/>
          <w:lang w:eastAsia="zh-CN"/>
          <w14:textFill>
            <w14:solidFill>
              <w14:schemeClr w14:val="tx1"/>
            </w14:solidFill>
          </w14:textFill>
        </w:rPr>
        <w:t>自2026年01月至今至少1个月的纳税证明或完税证明,纳税证明或完税证明上应有代收机构或税务机关的公章或业务专用章。依法免税的供应商应提供相关文件证明；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br w:type="textWrapping"/>
      </w:r>
      <w:r>
        <w:rPr>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社会保障资金缴纳证明：自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05668E00">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参加政府采购活动前三年内（2023年1月至今），在经营活动中没有重大违法记录的书面声明</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2339A56F">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具备履行合同所必需的设备和专业技术能力的书面声明（格式自拟）；</w:t>
      </w:r>
    </w:p>
    <w:p w14:paraId="7E1F2278">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b w:val="0"/>
          <w:bCs w:val="0"/>
          <w:i w:val="0"/>
          <w:iCs w:val="0"/>
          <w:caps w:val="0"/>
          <w:color w:val="000000" w:themeColor="text1"/>
          <w:spacing w:val="0"/>
          <w:sz w:val="24"/>
          <w:szCs w:val="24"/>
          <w:highlight w:val="none"/>
          <w:u w:val="none"/>
          <w:shd w:val="clear" w:fill="FFFFFF"/>
          <w:lang w:eastAsia="zh-CN"/>
          <w14:textFill>
            <w14:solidFill>
              <w14:schemeClr w14:val="tx1"/>
            </w14:solidFill>
          </w14:textFill>
        </w:rPr>
        <w:t>供应商不得被列为“信用中国”网站(www.creditchina.gov.cn)“信用服务”中“失信被执行人、重大税收违法案件当事人名单、政府采购严重违法失信名单”和中国政府采购网(www.ccgp.gov.cn)“政府采购严重违法失信行为信息记录”</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3C96636B">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（9）生产厂家投标需提供《药品生产许可证》及药品批准文号或《药品注册证书》</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代理商投标须提供《药品经营许可证》（经营范围含叶酸）及所投药品的合法上市证明；</w:t>
      </w:r>
    </w:p>
    <w:p w14:paraId="3EF420A4">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）本项目不接受联合体投标</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04D0FE92">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三、获取采购文件</w:t>
      </w:r>
    </w:p>
    <w:p w14:paraId="03E6C2E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20</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日至202</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27</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日，每天上午0</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:00:00至12:00:00，下午1</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:00:00至18:00:00（北京时间）</w:t>
      </w:r>
    </w:p>
    <w:p w14:paraId="412F14DB">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途径：全国公共资源交易中心平台 (陕西省.安康市)</w:t>
      </w:r>
    </w:p>
    <w:p w14:paraId="5FAD2FCC">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方式：在线获取</w:t>
      </w:r>
    </w:p>
    <w:p w14:paraId="5B7299B5">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售价：0元</w:t>
      </w:r>
    </w:p>
    <w:p w14:paraId="224E9036">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四、响应文件提交</w:t>
      </w:r>
    </w:p>
    <w:p w14:paraId="549E1DBD">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202</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29</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时00分00秒</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（北京时间）</w:t>
      </w:r>
    </w:p>
    <w:p w14:paraId="12AF127B">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地点：全国公共资源交易中心平台(陕西省.安康市)</w:t>
      </w:r>
    </w:p>
    <w:p w14:paraId="76868E95">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五、开启</w:t>
      </w:r>
    </w:p>
    <w:p w14:paraId="45DCD610">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时间：202</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年</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月</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29</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日</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14</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时00分00秒（北</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京时间）</w:t>
      </w:r>
    </w:p>
    <w:p w14:paraId="11D84488">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wordWrap/>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地点：全国公共资源交易中心平台(陕西省.安康市)不见面开标大厅</w:t>
      </w:r>
    </w:p>
    <w:p w14:paraId="3ACE50D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六、公告期限</w:t>
      </w:r>
    </w:p>
    <w:p w14:paraId="221F64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0" w:beforeAutospacing="0" w:after="0" w:afterAutospacing="0" w:line="360" w:lineRule="auto"/>
        <w:ind w:left="0" w:right="0" w:firstLine="384"/>
        <w:jc w:val="both"/>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自本公告发布之日起3个工作日。</w:t>
      </w:r>
    </w:p>
    <w:p w14:paraId="0C5572E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七、其他补充事宜</w:t>
      </w:r>
    </w:p>
    <w:p w14:paraId="44F3202E">
      <w:pPr>
        <w:keepNext w:val="0"/>
        <w:keepLines w:val="0"/>
        <w:pageBreakBefore w:val="0"/>
        <w:widowControl w:val="0"/>
        <w:numPr>
          <w:ilvl w:val="0"/>
          <w:numId w:val="0"/>
        </w:numPr>
        <w:tabs>
          <w:tab w:val="left" w:pos="324"/>
        </w:tabs>
        <w:kinsoku/>
        <w:wordWrap/>
        <w:overflowPunct w:val="0"/>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snapToGrid w:val="0"/>
          <w:color w:val="000000" w:themeColor="text1"/>
          <w:spacing w:val="0"/>
          <w:kern w:val="0"/>
          <w:sz w:val="24"/>
          <w:szCs w:val="24"/>
          <w:highlight w:val="none"/>
          <w:shd w:val="clear" w:fill="FFFFFF"/>
          <w:lang w:val="en-US" w:eastAsia="zh-CN" w:bidi="ar"/>
          <w14:textFill>
            <w14:solidFill>
              <w14:schemeClr w14:val="tx1"/>
            </w14:solidFill>
          </w14:textFill>
        </w:rPr>
        <w:t>（1）投标供应商使用捆绑陕西省公共资源交易平台的CA锁登录电子交易平台，通过政府采购系统企业端进入，点击“我要投标”并完善相关投标信息；（2）投标供应商须在招标文件发售截止前登录电子交易平台下载电子招标文件，未完成网上投标成功的或未提供授权信息或未在规定时间内在平台上下载文件，导致无法完成后续流程的责任自负；（3）本项目采用电子化投标方式，投标相关操作流程详见公共资源交易平台（陕西省·安康市）网站上的投标指南；（4）请各投标人获取招标文件后，按照陕西省财政厅《关于政府采购投标人注册登记有关事项的通知》要求，通过陕西省政府采购网注册登记加入陕西省政府采购投标人库。</w:t>
      </w:r>
      <w:r>
        <w:rPr>
          <w:rFonts w:hint="eastAsia" w:ascii="宋体" w:hAnsi="宋体" w:cs="宋体"/>
          <w:i w:val="0"/>
          <w:iCs w:val="0"/>
          <w:caps w:val="0"/>
          <w:snapToGrid w:val="0"/>
          <w:color w:val="000000" w:themeColor="text1"/>
          <w:spacing w:val="0"/>
          <w:kern w:val="0"/>
          <w:sz w:val="24"/>
          <w:szCs w:val="24"/>
          <w:highlight w:val="none"/>
          <w:shd w:val="clear" w:fill="FFFFFF"/>
          <w:lang w:val="en-US" w:eastAsia="zh-CN" w:bidi="ar"/>
          <w14:textFill>
            <w14:solidFill>
              <w14:schemeClr w14:val="tx1"/>
            </w14:solidFill>
          </w14:textFill>
        </w:rPr>
        <w:t>（</w:t>
      </w:r>
      <w:r>
        <w:rPr>
          <w:rFonts w:hint="eastAsia" w:ascii="宋体" w:hAnsi="宋体" w:eastAsia="宋体" w:cs="宋体"/>
          <w:i w:val="0"/>
          <w:iCs w:val="0"/>
          <w:caps w:val="0"/>
          <w:snapToGrid w:val="0"/>
          <w:color w:val="000000" w:themeColor="text1"/>
          <w:spacing w:val="0"/>
          <w:kern w:val="0"/>
          <w:sz w:val="24"/>
          <w:szCs w:val="24"/>
          <w:highlight w:val="none"/>
          <w:shd w:val="clear" w:fill="FFFFFF"/>
          <w:lang w:val="en-US" w:eastAsia="zh-CN" w:bidi="ar"/>
          <w14:textFill>
            <w14:solidFill>
              <w14:schemeClr w14:val="tx1"/>
            </w14:solidFill>
          </w14:textFill>
        </w:rPr>
        <w:t>5</w:t>
      </w:r>
      <w:r>
        <w:rPr>
          <w:rFonts w:hint="eastAsia" w:ascii="宋体" w:hAnsi="宋体" w:cs="宋体"/>
          <w:i w:val="0"/>
          <w:iCs w:val="0"/>
          <w:caps w:val="0"/>
          <w:snapToGrid w:val="0"/>
          <w:color w:val="000000" w:themeColor="text1"/>
          <w:spacing w:val="0"/>
          <w:kern w:val="0"/>
          <w:sz w:val="24"/>
          <w:szCs w:val="24"/>
          <w:highlight w:val="none"/>
          <w:shd w:val="clear" w:fill="FFFFFF"/>
          <w:lang w:val="en-US" w:eastAsia="zh-CN" w:bidi="ar"/>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本项目以单价报价，叶酸单价上限为4.00元/（瓶或盒），超过限价的报价视为无效文件，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货物数量结算方式，以最终实际发生的货物数量经甲乙双方核实确定后结算。</w:t>
      </w:r>
    </w:p>
    <w:p w14:paraId="1E191BE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overflowPunct w:val="0"/>
        <w:topLinePunct w:val="0"/>
        <w:bidi w:val="0"/>
        <w:spacing w:before="120" w:beforeAutospacing="0" w:after="0" w:afterAutospacing="0" w:line="360" w:lineRule="auto"/>
        <w:ind w:left="0" w:leftChars="0" w:right="0" w:rightChars="0" w:firstLine="0" w:firstLineChars="0"/>
        <w:jc w:val="left"/>
        <w:outlineLvl w:val="1"/>
        <w:rPr>
          <w:rFonts w:hint="eastAsia" w:ascii="宋体" w:hAnsi="宋体" w:eastAsia="宋体" w:cs="宋体"/>
          <w:b w:val="0"/>
          <w:bCs w:val="0"/>
          <w:i w:val="0"/>
          <w:iCs w:val="0"/>
          <w:caps w:val="0"/>
          <w:color w:val="000000" w:themeColor="text1"/>
          <w:spacing w:val="0"/>
          <w:sz w:val="24"/>
          <w:szCs w:val="24"/>
          <w:highlight w:val="none"/>
          <w14:textFill>
            <w14:solidFill>
              <w14:schemeClr w14:val="tx1"/>
            </w14:solidFill>
          </w14:textFill>
        </w:rPr>
      </w:pPr>
      <w:r>
        <w:rPr>
          <w:rStyle w:val="22"/>
          <w:rFonts w:hint="eastAsia" w:ascii="宋体" w:hAnsi="宋体" w:eastAsia="宋体" w:cs="宋体"/>
          <w:b/>
          <w:bCs/>
          <w:i w:val="0"/>
          <w:iCs w:val="0"/>
          <w:caps w:val="0"/>
          <w:color w:val="000000" w:themeColor="text1"/>
          <w:spacing w:val="0"/>
          <w:sz w:val="24"/>
          <w:szCs w:val="24"/>
          <w:highlight w:val="none"/>
          <w:shd w:val="clear" w:fill="FFFFFF"/>
          <w14:textFill>
            <w14:solidFill>
              <w14:schemeClr w14:val="tx1"/>
            </w14:solidFill>
          </w14:textFill>
        </w:rPr>
        <w:t>八、对本次招标提出询问，请按以下方式联系。</w:t>
      </w:r>
    </w:p>
    <w:p w14:paraId="51872AC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leftChars="0" w:right="0" w:rightChars="0"/>
        <w:jc w:val="left"/>
        <w:outlineLvl w:val="2"/>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fill="FFFFFF"/>
          <w14:textFill>
            <w14:solidFill>
              <w14:schemeClr w14:val="tx1"/>
            </w14:solidFill>
          </w14:textFill>
        </w:rPr>
        <w:t>1.采购人信息</w:t>
      </w:r>
    </w:p>
    <w:p w14:paraId="2D5B4DA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名称：</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安康市妇幼保健院</w:t>
      </w:r>
    </w:p>
    <w:p w14:paraId="567B445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地址：</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陕西省安康市高新区汉江路西段</w:t>
      </w:r>
    </w:p>
    <w:p w14:paraId="0C8760A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联系方式：</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15319690287</w:t>
      </w:r>
    </w:p>
    <w:p w14:paraId="210E11F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leftChars="0" w:right="0" w:rightChars="0"/>
        <w:jc w:val="left"/>
        <w:outlineLvl w:val="2"/>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fill="FFFFFF"/>
          <w14:textFill>
            <w14:solidFill>
              <w14:schemeClr w14:val="tx1"/>
            </w14:solidFill>
          </w14:textFill>
        </w:rPr>
        <w:t>2.采购代理机构信息</w:t>
      </w:r>
    </w:p>
    <w:p w14:paraId="6B5CDB5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名称：安康华昊智远项目管理有限公司</w:t>
      </w:r>
    </w:p>
    <w:p w14:paraId="11B09FA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地址：安康市汉滨区大桥南路1号御公馆小区2号楼2单元1001室</w:t>
      </w:r>
    </w:p>
    <w:p w14:paraId="25BE86E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联系方式：0915-3197229</w:t>
      </w:r>
    </w:p>
    <w:p w14:paraId="66F7C28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leftChars="0" w:right="0" w:rightChars="0"/>
        <w:jc w:val="left"/>
        <w:outlineLvl w:val="2"/>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highlight w:val="none"/>
          <w:shd w:val="clear" w:fill="FFFFFF"/>
          <w14:textFill>
            <w14:solidFill>
              <w14:schemeClr w14:val="tx1"/>
            </w14:solidFill>
          </w14:textFill>
        </w:rPr>
        <w:t>3.项目联系方式</w:t>
      </w:r>
    </w:p>
    <w:p w14:paraId="0B04E16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项目联系人：唐明明</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 xml:space="preserve">   王益山</w:t>
      </w:r>
    </w:p>
    <w:p w14:paraId="6A254C6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val="0"/>
        <w:topLinePunct w:val="0"/>
        <w:bidi w:val="0"/>
        <w:spacing w:before="0" w:beforeAutospacing="0" w:after="0" w:afterAutospacing="0" w:line="360" w:lineRule="auto"/>
        <w:ind w:left="0" w:right="0" w:firstLine="384"/>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电话：0915-3197229</w:t>
      </w:r>
    </w:p>
    <w:p w14:paraId="4C67FB29">
      <w:pPr>
        <w:keepNext w:val="0"/>
        <w:keepLines w:val="0"/>
        <w:pageBreakBefore w:val="0"/>
        <w:kinsoku/>
        <w:wordWrap/>
        <w:overflowPunct w:val="0"/>
        <w:topLinePunct w:val="0"/>
        <w:autoSpaceDE/>
        <w:autoSpaceDN/>
        <w:bidi w:val="0"/>
        <w:adjustRightInd/>
        <w:snapToGrid/>
        <w:spacing w:line="400" w:lineRule="exact"/>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77C7E7C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jc w:val="right"/>
        <w:rPr>
          <w:rFonts w:hint="eastAsia" w:ascii="宋体" w:hAnsi="宋体" w:eastAsia="宋体" w:cs="宋体"/>
          <w:b w:val="0"/>
          <w:bCs w:val="0"/>
          <w:i w:val="0"/>
          <w:iCs w:val="0"/>
          <w:caps w:val="0"/>
          <w:color w:val="000000" w:themeColor="text1"/>
          <w:spacing w:val="0"/>
          <w:sz w:val="24"/>
          <w:szCs w:val="24"/>
          <w:u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u w:val="none"/>
          <w:shd w:val="clear" w:fill="FFFFFF"/>
          <w14:textFill>
            <w14:solidFill>
              <w14:schemeClr w14:val="tx1"/>
            </w14:solidFill>
          </w14:textFill>
        </w:rPr>
        <w:t>安康华</w:t>
      </w:r>
      <w:r>
        <w:rPr>
          <w:rFonts w:hint="eastAsia" w:ascii="宋体" w:hAnsi="宋体" w:eastAsia="宋体" w:cs="宋体"/>
          <w:b w:val="0"/>
          <w:bCs w:val="0"/>
          <w:i w:val="0"/>
          <w:iCs w:val="0"/>
          <w:caps w:val="0"/>
          <w:color w:val="000000" w:themeColor="text1"/>
          <w:spacing w:val="0"/>
          <w:sz w:val="24"/>
          <w:szCs w:val="24"/>
          <w:u w:val="none"/>
          <w:shd w:val="clear" w:fill="FFFFFF"/>
          <w14:textFill>
            <w14:solidFill>
              <w14:schemeClr w14:val="tx1"/>
            </w14:solidFill>
          </w14:textFill>
        </w:rPr>
        <w:t>昊智远项目管理有限公司</w:t>
      </w:r>
    </w:p>
    <w:p w14:paraId="18827AA3">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jc w:val="right"/>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u w:val="none"/>
          <w:shd w:val="clear" w:fill="FFFFFF"/>
          <w14:textFill>
            <w14:solidFill>
              <w14:schemeClr w14:val="tx1"/>
            </w14:solidFill>
          </w14:textFill>
        </w:rPr>
        <w:t>202</w:t>
      </w:r>
      <w:r>
        <w:rPr>
          <w:rFonts w:hint="eastAsia" w:cs="宋体"/>
          <w:b w:val="0"/>
          <w:bCs w:val="0"/>
          <w:i w:val="0"/>
          <w:iCs w:val="0"/>
          <w:caps w:val="0"/>
          <w:color w:val="000000" w:themeColor="text1"/>
          <w:spacing w:val="0"/>
          <w:sz w:val="24"/>
          <w:szCs w:val="24"/>
          <w:u w:val="none"/>
          <w:shd w:val="clear" w:fill="FFFFFF"/>
          <w:lang w:val="en-US" w:eastAsia="zh-CN"/>
          <w14:textFill>
            <w14:solidFill>
              <w14:schemeClr w14:val="tx1"/>
            </w14:solidFill>
          </w14:textFill>
        </w:rPr>
        <w:t>6</w:t>
      </w:r>
      <w:r>
        <w:rPr>
          <w:rFonts w:hint="eastAsia" w:ascii="宋体" w:hAnsi="宋体" w:eastAsia="宋体" w:cs="宋体"/>
          <w:b w:val="0"/>
          <w:bCs w:val="0"/>
          <w:i w:val="0"/>
          <w:iCs w:val="0"/>
          <w:caps w:val="0"/>
          <w:color w:val="000000" w:themeColor="text1"/>
          <w:spacing w:val="0"/>
          <w:sz w:val="24"/>
          <w:szCs w:val="24"/>
          <w:u w:val="none"/>
          <w:shd w:val="clear" w:fill="FFFFFF"/>
          <w14:textFill>
            <w14:solidFill>
              <w14:schemeClr w14:val="tx1"/>
            </w14:solidFill>
          </w14:textFill>
        </w:rPr>
        <w:t>年</w:t>
      </w:r>
      <w:r>
        <w:rPr>
          <w:rFonts w:hint="eastAsia" w:cs="宋体"/>
          <w:b w:val="0"/>
          <w:bCs w:val="0"/>
          <w:i w:val="0"/>
          <w:iCs w:val="0"/>
          <w:caps w:val="0"/>
          <w:color w:val="000000" w:themeColor="text1"/>
          <w:spacing w:val="0"/>
          <w:sz w:val="24"/>
          <w:szCs w:val="24"/>
          <w:u w:val="none"/>
          <w:shd w:val="clear" w:fill="FFFFFF"/>
          <w:lang w:val="en-US" w:eastAsia="zh-CN"/>
          <w14:textFill>
            <w14:solidFill>
              <w14:schemeClr w14:val="tx1"/>
            </w14:solidFill>
          </w14:textFill>
        </w:rPr>
        <w:t>10</w:t>
      </w:r>
      <w:r>
        <w:rPr>
          <w:rFonts w:hint="eastAsia" w:ascii="宋体" w:hAnsi="宋体" w:eastAsia="宋体" w:cs="宋体"/>
          <w:b w:val="0"/>
          <w:bCs w:val="0"/>
          <w:i w:val="0"/>
          <w:iCs w:val="0"/>
          <w:caps w:val="0"/>
          <w:color w:val="000000" w:themeColor="text1"/>
          <w:spacing w:val="0"/>
          <w:sz w:val="24"/>
          <w:szCs w:val="24"/>
          <w:u w:val="none"/>
          <w:shd w:val="clear" w:fill="FFFFFF"/>
          <w14:textFill>
            <w14:solidFill>
              <w14:schemeClr w14:val="tx1"/>
            </w14:solidFill>
          </w14:textFill>
        </w:rPr>
        <w:t>月</w:t>
      </w:r>
      <w:r>
        <w:rPr>
          <w:rFonts w:hint="eastAsia" w:cs="宋体"/>
          <w:b w:val="0"/>
          <w:bCs w:val="0"/>
          <w:i w:val="0"/>
          <w:iCs w:val="0"/>
          <w:caps w:val="0"/>
          <w:color w:val="000000" w:themeColor="text1"/>
          <w:spacing w:val="0"/>
          <w:sz w:val="24"/>
          <w:szCs w:val="24"/>
          <w:u w:val="none"/>
          <w:shd w:val="clear" w:fill="FFFFFF"/>
          <w:lang w:val="en-US" w:eastAsia="zh-CN"/>
          <w14:textFill>
            <w14:solidFill>
              <w14:schemeClr w14:val="tx1"/>
            </w14:solidFill>
          </w14:textFill>
        </w:rPr>
        <w:t>22</w:t>
      </w:r>
      <w:r>
        <w:rPr>
          <w:rFonts w:hint="eastAsia" w:ascii="宋体" w:hAnsi="宋体" w:eastAsia="宋体" w:cs="宋体"/>
          <w:b w:val="0"/>
          <w:bCs w:val="0"/>
          <w:i w:val="0"/>
          <w:iCs w:val="0"/>
          <w:caps w:val="0"/>
          <w:color w:val="000000" w:themeColor="text1"/>
          <w:spacing w:val="0"/>
          <w:sz w:val="24"/>
          <w:szCs w:val="24"/>
          <w:u w:val="none"/>
          <w:shd w:val="clear" w:fill="FFFFFF"/>
          <w14:textFill>
            <w14:solidFill>
              <w14:schemeClr w14:val="tx1"/>
            </w14:solidFill>
          </w14:textFill>
        </w:rPr>
        <w:t>日</w:t>
      </w:r>
      <w:r>
        <w:rPr>
          <w:rFonts w:hint="eastAsia" w:ascii="宋体" w:hAnsi="宋体" w:eastAsia="宋体" w:cs="宋体"/>
          <w:b/>
          <w:bCs/>
          <w:color w:val="000000" w:themeColor="text1"/>
          <w:sz w:val="36"/>
          <w:szCs w:val="36"/>
          <w:highlight w:val="none"/>
          <w14:textFill>
            <w14:solidFill>
              <w14:schemeClr w14:val="tx1"/>
            </w14:solidFill>
          </w14:textFill>
        </w:rPr>
        <w:br w:type="page"/>
      </w:r>
    </w:p>
    <w:p w14:paraId="3EE7DE22">
      <w:pPr>
        <w:pStyle w:val="3"/>
        <w:numPr>
          <w:ilvl w:val="0"/>
          <w:numId w:val="0"/>
        </w:numPr>
        <w:tabs>
          <w:tab w:val="clear" w:pos="324"/>
        </w:tabs>
        <w:bidi w:val="0"/>
        <w:ind w:leftChars="0"/>
        <w:rPr>
          <w:rFonts w:hint="eastAsia" w:hAnsi="Times New Roman" w:cs="Times New Roman"/>
          <w:color w:val="000000" w:themeColor="text1"/>
          <w:highlight w:val="none"/>
          <w14:textFill>
            <w14:solidFill>
              <w14:schemeClr w14:val="tx1"/>
            </w14:solidFill>
          </w14:textFill>
        </w:rPr>
      </w:pPr>
      <w:bookmarkStart w:id="12" w:name="_Toc18063"/>
      <w:bookmarkStart w:id="13" w:name="_Toc18938"/>
      <w:r>
        <w:rPr>
          <w:rFonts w:hint="eastAsia" w:hAnsi="Times New Roman" w:cs="Times New Roman"/>
          <w:color w:val="000000" w:themeColor="text1"/>
          <w:highlight w:val="none"/>
          <w14:textFill>
            <w14:solidFill>
              <w14:schemeClr w14:val="tx1"/>
            </w14:solidFill>
          </w14:textFill>
        </w:rPr>
        <w:t>第二章  供应商须知</w:t>
      </w:r>
      <w:bookmarkEnd w:id="8"/>
      <w:bookmarkEnd w:id="9"/>
      <w:bookmarkEnd w:id="10"/>
      <w:bookmarkEnd w:id="12"/>
      <w:bookmarkEnd w:id="13"/>
    </w:p>
    <w:p w14:paraId="7F87BDD4">
      <w:pPr>
        <w:keepLines w:val="0"/>
        <w:pageBreakBefore w:val="0"/>
        <w:overflowPunct w:val="0"/>
        <w:topLinePunct w:val="0"/>
        <w:bidi w:val="0"/>
        <w:jc w:val="center"/>
        <w:rPr>
          <w:rFonts w:hint="eastAsia" w:ascii="宋体" w:hAnsi="宋体" w:eastAsia="宋体" w:cs="宋体"/>
          <w:color w:val="000000" w:themeColor="text1"/>
          <w:szCs w:val="21"/>
          <w:highlight w:val="none"/>
          <w14:textFill>
            <w14:solidFill>
              <w14:schemeClr w14:val="tx1"/>
            </w14:solidFill>
          </w14:textFill>
        </w:rPr>
      </w:pPr>
      <w:bookmarkStart w:id="14" w:name="_Toc222740109"/>
      <w:r>
        <w:rPr>
          <w:rFonts w:hint="eastAsia" w:ascii="宋体" w:hAnsi="宋体" w:eastAsia="宋体" w:cs="宋体"/>
          <w:b/>
          <w:bCs/>
          <w:color w:val="000000" w:themeColor="text1"/>
          <w:sz w:val="28"/>
          <w:szCs w:val="28"/>
          <w:highlight w:val="none"/>
          <w14:textFill>
            <w14:solidFill>
              <w14:schemeClr w14:val="tx1"/>
            </w14:solidFill>
          </w14:textFill>
        </w:rPr>
        <w:t>供应商须知前附表</w:t>
      </w:r>
      <w:bookmarkEnd w:id="14"/>
    </w:p>
    <w:tbl>
      <w:tblPr>
        <w:tblStyle w:val="20"/>
        <w:tblW w:w="10095" w:type="dxa"/>
        <w:tblInd w:w="-3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46"/>
        <w:gridCol w:w="2874"/>
        <w:gridCol w:w="6475"/>
      </w:tblGrid>
      <w:tr w14:paraId="247097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noWrap w:val="0"/>
            <w:vAlign w:val="top"/>
          </w:tcPr>
          <w:p w14:paraId="36D1A967">
            <w:pPr>
              <w:keepLines w:val="0"/>
              <w:pageBreakBefore w:val="0"/>
              <w:overflowPunct w:val="0"/>
              <w:topLinePunct w:val="0"/>
              <w:bidi w:val="0"/>
              <w:spacing w:line="40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2874" w:type="dxa"/>
            <w:noWrap w:val="0"/>
            <w:vAlign w:val="top"/>
          </w:tcPr>
          <w:p w14:paraId="251019B8">
            <w:pPr>
              <w:keepLines w:val="0"/>
              <w:pageBreakBefore w:val="0"/>
              <w:overflowPunct w:val="0"/>
              <w:topLinePunct w:val="0"/>
              <w:bidi w:val="0"/>
              <w:spacing w:line="40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6475" w:type="dxa"/>
            <w:noWrap w:val="0"/>
            <w:vAlign w:val="center"/>
          </w:tcPr>
          <w:p w14:paraId="5DA707D5">
            <w:pPr>
              <w:keepLines w:val="0"/>
              <w:pageBreakBefore w:val="0"/>
              <w:overflowPunct w:val="0"/>
              <w:topLinePunct w:val="0"/>
              <w:bidi w:val="0"/>
              <w:spacing w:line="40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具体信息</w:t>
            </w:r>
          </w:p>
        </w:tc>
      </w:tr>
      <w:tr w14:paraId="4A011A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746" w:type="dxa"/>
            <w:noWrap w:val="0"/>
            <w:vAlign w:val="center"/>
          </w:tcPr>
          <w:p w14:paraId="137F8C40">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874" w:type="dxa"/>
            <w:noWrap w:val="0"/>
            <w:vAlign w:val="center"/>
          </w:tcPr>
          <w:p w14:paraId="7C9F4537">
            <w:pPr>
              <w:keepLines w:val="0"/>
              <w:pageBreakBefore w:val="0"/>
              <w:overflowPunct w:val="0"/>
              <w:topLinePunct w:val="0"/>
              <w:bidi w:val="0"/>
              <w:spacing w:line="400" w:lineRule="exact"/>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6475" w:type="dxa"/>
            <w:noWrap w:val="0"/>
            <w:vAlign w:val="center"/>
          </w:tcPr>
          <w:p w14:paraId="3633E79B">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eastAsia="zh-CN"/>
                <w14:textFill>
                  <w14:solidFill>
                    <w14:schemeClr w14:val="tx1"/>
                  </w14:solidFill>
                </w14:textFill>
              </w:rPr>
              <w:t>安康市妇幼保健院</w:t>
            </w:r>
          </w:p>
          <w:p w14:paraId="2A5973C1">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lang w:eastAsia="zh-CN"/>
                <w14:textFill>
                  <w14:solidFill>
                    <w14:schemeClr w14:val="tx1"/>
                  </w14:solidFill>
                </w14:textFill>
              </w:rPr>
              <w:t>陕西省安康市高新区汉江路西段</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1BC4BC7A">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cs="宋体"/>
                <w:color w:val="000000" w:themeColor="text1"/>
                <w:sz w:val="24"/>
                <w:szCs w:val="24"/>
                <w:highlight w:val="none"/>
                <w:lang w:val="en-US" w:eastAsia="zh-CN"/>
                <w14:textFill>
                  <w14:solidFill>
                    <w14:schemeClr w14:val="tx1"/>
                  </w14:solidFill>
                </w14:textFill>
              </w:rPr>
              <w:t>15319690287</w:t>
            </w:r>
          </w:p>
        </w:tc>
      </w:tr>
      <w:tr w14:paraId="196A04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29" w:hRule="atLeast"/>
        </w:trPr>
        <w:tc>
          <w:tcPr>
            <w:tcW w:w="746" w:type="dxa"/>
            <w:noWrap w:val="0"/>
            <w:vAlign w:val="center"/>
          </w:tcPr>
          <w:p w14:paraId="4014E99F">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2874" w:type="dxa"/>
            <w:noWrap w:val="0"/>
            <w:vAlign w:val="center"/>
          </w:tcPr>
          <w:p w14:paraId="62BC364C">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采购代理机构</w:t>
            </w:r>
          </w:p>
        </w:tc>
        <w:tc>
          <w:tcPr>
            <w:tcW w:w="6475" w:type="dxa"/>
            <w:noWrap w:val="0"/>
            <w:vAlign w:val="center"/>
          </w:tcPr>
          <w:p w14:paraId="54CEB92A">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  称：</w:t>
            </w:r>
            <w:r>
              <w:rPr>
                <w:rFonts w:hint="eastAsia" w:ascii="宋体" w:hAnsi="宋体" w:eastAsia="宋体" w:cs="宋体"/>
                <w:color w:val="000000" w:themeColor="text1"/>
                <w:sz w:val="24"/>
                <w:szCs w:val="24"/>
                <w:highlight w:val="none"/>
                <w:lang w:eastAsia="zh-CN"/>
                <w14:textFill>
                  <w14:solidFill>
                    <w14:schemeClr w14:val="tx1"/>
                  </w14:solidFill>
                </w14:textFill>
              </w:rPr>
              <w:t>安康华昊智远项目管理有限公司</w:t>
            </w:r>
          </w:p>
          <w:p w14:paraId="10529FE7">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大桥南路1号御公馆小区2号楼2单元1001室</w:t>
            </w:r>
          </w:p>
          <w:p w14:paraId="5CA657A3">
            <w:pPr>
              <w:keepLines w:val="0"/>
              <w:pageBreakBefore w:val="0"/>
              <w:overflowPunct w:val="0"/>
              <w:topLinePunct w:val="0"/>
              <w:bidi w:val="0"/>
              <w:spacing w:line="4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唐明明</w:t>
            </w:r>
            <w:r>
              <w:rPr>
                <w:rFonts w:hint="eastAsia" w:ascii="宋体" w:hAnsi="宋体" w:cs="宋体"/>
                <w:color w:val="000000" w:themeColor="text1"/>
                <w:sz w:val="24"/>
                <w:szCs w:val="24"/>
                <w:highlight w:val="none"/>
                <w:lang w:val="en-US" w:eastAsia="zh-CN"/>
                <w14:textFill>
                  <w14:solidFill>
                    <w14:schemeClr w14:val="tx1"/>
                  </w14:solidFill>
                </w14:textFill>
              </w:rPr>
              <w:t xml:space="preserve"> 王益山</w:t>
            </w:r>
          </w:p>
          <w:p w14:paraId="2A94881E">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电话：</w:t>
            </w:r>
            <w:r>
              <w:rPr>
                <w:rFonts w:hint="eastAsia" w:ascii="宋体" w:hAnsi="宋体" w:eastAsia="宋体" w:cs="宋体"/>
                <w:color w:val="000000" w:themeColor="text1"/>
                <w:sz w:val="24"/>
                <w:szCs w:val="24"/>
                <w:highlight w:val="none"/>
                <w:lang w:eastAsia="zh-CN"/>
                <w14:textFill>
                  <w14:solidFill>
                    <w14:schemeClr w14:val="tx1"/>
                  </w14:solidFill>
                </w14:textFill>
              </w:rPr>
              <w:t>0915-3197229</w:t>
            </w:r>
          </w:p>
          <w:p w14:paraId="7724B000">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电子邮箱：</w:t>
            </w:r>
            <w:r>
              <w:rPr>
                <w:rFonts w:hint="eastAsia" w:ascii="宋体" w:hAnsi="宋体" w:eastAsia="宋体" w:cs="宋体"/>
                <w:color w:val="000000" w:themeColor="text1"/>
                <w:sz w:val="24"/>
                <w:szCs w:val="24"/>
                <w:highlight w:val="none"/>
                <w:lang w:eastAsia="zh-CN"/>
                <w14:textFill>
                  <w14:solidFill>
                    <w14:schemeClr w14:val="tx1"/>
                  </w14:solidFill>
                </w14:textFill>
              </w:rPr>
              <w:t>840192520@qq.com</w:t>
            </w:r>
          </w:p>
        </w:tc>
      </w:tr>
      <w:tr w14:paraId="78BB32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746" w:type="dxa"/>
            <w:noWrap w:val="0"/>
            <w:vAlign w:val="center"/>
          </w:tcPr>
          <w:p w14:paraId="3C175AB6">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2874" w:type="dxa"/>
            <w:noWrap w:val="0"/>
            <w:vAlign w:val="center"/>
          </w:tcPr>
          <w:p w14:paraId="02D51D28">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采购项目名称</w:t>
            </w:r>
          </w:p>
        </w:tc>
        <w:tc>
          <w:tcPr>
            <w:tcW w:w="6475" w:type="dxa"/>
            <w:noWrap w:val="0"/>
            <w:vAlign w:val="center"/>
          </w:tcPr>
          <w:p w14:paraId="0B353CDF">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增补叶酸预防神经管缺陷项目</w:t>
            </w:r>
          </w:p>
        </w:tc>
      </w:tr>
      <w:tr w14:paraId="204AA1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746" w:type="dxa"/>
            <w:noWrap w:val="0"/>
            <w:vAlign w:val="center"/>
          </w:tcPr>
          <w:p w14:paraId="75A769B4">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2874" w:type="dxa"/>
            <w:noWrap w:val="0"/>
            <w:vAlign w:val="center"/>
          </w:tcPr>
          <w:p w14:paraId="64F26BA2">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采购项目编号</w:t>
            </w:r>
          </w:p>
        </w:tc>
        <w:tc>
          <w:tcPr>
            <w:tcW w:w="6475" w:type="dxa"/>
            <w:noWrap w:val="0"/>
            <w:vAlign w:val="center"/>
          </w:tcPr>
          <w:p w14:paraId="2817E38D">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HHZY-2026-13</w:t>
            </w:r>
          </w:p>
        </w:tc>
      </w:tr>
      <w:tr w14:paraId="51DB88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5" w:hRule="atLeast"/>
        </w:trPr>
        <w:tc>
          <w:tcPr>
            <w:tcW w:w="746" w:type="dxa"/>
            <w:noWrap w:val="0"/>
            <w:vAlign w:val="center"/>
          </w:tcPr>
          <w:p w14:paraId="32E2F778">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2874" w:type="dxa"/>
            <w:noWrap w:val="0"/>
            <w:vAlign w:val="center"/>
          </w:tcPr>
          <w:p w14:paraId="031AC5D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资金来源及采购预算</w:t>
            </w:r>
          </w:p>
        </w:tc>
        <w:tc>
          <w:tcPr>
            <w:tcW w:w="6475" w:type="dxa"/>
            <w:noWrap w:val="0"/>
            <w:vAlign w:val="center"/>
          </w:tcPr>
          <w:p w14:paraId="05417C50">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财政</w:t>
            </w:r>
            <w:r>
              <w:rPr>
                <w:rFonts w:hint="eastAsia" w:ascii="宋体" w:hAnsi="宋体" w:eastAsia="宋体" w:cs="宋体"/>
                <w:color w:val="000000" w:themeColor="text1"/>
                <w:sz w:val="24"/>
                <w:szCs w:val="24"/>
                <w:highlight w:val="none"/>
                <w:lang w:eastAsia="zh-CN"/>
                <w14:textFill>
                  <w14:solidFill>
                    <w14:schemeClr w14:val="tx1"/>
                  </w14:solidFill>
                </w14:textFill>
              </w:rPr>
              <w:t>资金</w:t>
            </w:r>
            <w:r>
              <w:rPr>
                <w:rFonts w:hint="eastAsia" w:ascii="宋体" w:hAnsi="宋体" w:cs="宋体"/>
                <w:color w:val="000000" w:themeColor="text1"/>
                <w:sz w:val="24"/>
                <w:szCs w:val="24"/>
                <w:highlight w:val="none"/>
                <w:lang w:val="en-US" w:eastAsia="zh-CN"/>
                <w14:textFill>
                  <w14:solidFill>
                    <w14:schemeClr w14:val="tx1"/>
                  </w14:solidFill>
                </w14:textFill>
              </w:rPr>
              <w:t>400,000.00</w:t>
            </w:r>
            <w:r>
              <w:rPr>
                <w:rFonts w:hint="eastAsia" w:ascii="宋体" w:hAnsi="宋体" w:eastAsia="宋体" w:cs="宋体"/>
                <w:color w:val="000000" w:themeColor="text1"/>
                <w:sz w:val="24"/>
                <w:szCs w:val="24"/>
                <w:highlight w:val="none"/>
                <w:lang w:eastAsia="zh-CN"/>
                <w14:textFill>
                  <w14:solidFill>
                    <w14:schemeClr w14:val="tx1"/>
                  </w14:solidFill>
                </w14:textFill>
              </w:rPr>
              <w:t>元</w:t>
            </w:r>
          </w:p>
        </w:tc>
      </w:tr>
      <w:tr w14:paraId="2F04A7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5" w:hRule="atLeast"/>
        </w:trPr>
        <w:tc>
          <w:tcPr>
            <w:tcW w:w="746" w:type="dxa"/>
            <w:noWrap w:val="0"/>
            <w:vAlign w:val="center"/>
          </w:tcPr>
          <w:p w14:paraId="159EDBDF">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2874" w:type="dxa"/>
            <w:noWrap w:val="0"/>
            <w:vAlign w:val="center"/>
          </w:tcPr>
          <w:p w14:paraId="1F6E1674">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采购项目用途</w:t>
            </w:r>
          </w:p>
        </w:tc>
        <w:tc>
          <w:tcPr>
            <w:tcW w:w="6475" w:type="dxa"/>
            <w:noWrap w:val="0"/>
            <w:vAlign w:val="center"/>
          </w:tcPr>
          <w:p w14:paraId="5BAB5999">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原国家卫生部《增补叶酸预防神经管缺陷管理方案》及《陕西省增补叶酸预防神经管缺陷项目实施方案》相关要求，我市自2009年启动增补叶酸预防神经管缺陷项目，服务对象为安康市域内准备怀孕的妇女（包括流动人口），免费为其提供“怀孕前3个月及孕早期3个月”的小剂量叶酸片。中省按年度拨付专项资金，用于地市级招标采购小剂量叶酸及配套服务。</w:t>
            </w:r>
          </w:p>
        </w:tc>
      </w:tr>
      <w:tr w14:paraId="397269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5" w:hRule="atLeast"/>
        </w:trPr>
        <w:tc>
          <w:tcPr>
            <w:tcW w:w="746" w:type="dxa"/>
            <w:noWrap w:val="0"/>
            <w:vAlign w:val="center"/>
          </w:tcPr>
          <w:p w14:paraId="75D158D7">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2874" w:type="dxa"/>
            <w:noWrap w:val="0"/>
            <w:vAlign w:val="center"/>
          </w:tcPr>
          <w:p w14:paraId="09065231">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采购方式</w:t>
            </w:r>
          </w:p>
        </w:tc>
        <w:tc>
          <w:tcPr>
            <w:tcW w:w="6475" w:type="dxa"/>
            <w:noWrap w:val="0"/>
            <w:vAlign w:val="center"/>
          </w:tcPr>
          <w:p w14:paraId="08438B75">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竞争性谈判</w:t>
            </w:r>
          </w:p>
        </w:tc>
      </w:tr>
      <w:tr w14:paraId="7162F3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5" w:hRule="atLeast"/>
        </w:trPr>
        <w:tc>
          <w:tcPr>
            <w:tcW w:w="746" w:type="dxa"/>
            <w:noWrap w:val="0"/>
            <w:vAlign w:val="center"/>
          </w:tcPr>
          <w:p w14:paraId="4FE1259D">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2874" w:type="dxa"/>
            <w:noWrap w:val="0"/>
            <w:vAlign w:val="center"/>
          </w:tcPr>
          <w:p w14:paraId="12B19F5D">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采购内容</w:t>
            </w:r>
          </w:p>
        </w:tc>
        <w:tc>
          <w:tcPr>
            <w:tcW w:w="6475" w:type="dxa"/>
            <w:noWrap w:val="0"/>
            <w:vAlign w:val="center"/>
          </w:tcPr>
          <w:p w14:paraId="0DF0D746">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详见第四章采购内容及技术要求。</w:t>
            </w:r>
          </w:p>
        </w:tc>
      </w:tr>
      <w:tr w14:paraId="76170C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noWrap w:val="0"/>
            <w:vAlign w:val="center"/>
          </w:tcPr>
          <w:p w14:paraId="2E2807FE">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2874" w:type="dxa"/>
            <w:noWrap w:val="0"/>
            <w:vAlign w:val="center"/>
          </w:tcPr>
          <w:p w14:paraId="14F3D81E">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color w:val="000000" w:themeColor="text1"/>
                <w:sz w:val="24"/>
                <w:szCs w:val="24"/>
                <w:highlight w:val="none"/>
                <w14:textFill>
                  <w14:solidFill>
                    <w14:schemeClr w14:val="tx1"/>
                  </w14:solidFill>
                </w14:textFill>
              </w:rPr>
              <w:t>、地点</w:t>
            </w:r>
          </w:p>
        </w:tc>
        <w:tc>
          <w:tcPr>
            <w:tcW w:w="6475" w:type="dxa"/>
            <w:noWrap w:val="0"/>
            <w:vAlign w:val="center"/>
          </w:tcPr>
          <w:p w14:paraId="53263725">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2年</w:t>
            </w:r>
          </w:p>
          <w:p w14:paraId="62757305">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交货地点：</w:t>
            </w:r>
            <w:r>
              <w:rPr>
                <w:rFonts w:hint="eastAsia" w:ascii="宋体" w:hAnsi="宋体" w:cs="宋体"/>
                <w:color w:val="000000" w:themeColor="text1"/>
                <w:sz w:val="24"/>
                <w:szCs w:val="24"/>
                <w:highlight w:val="none"/>
                <w:lang w:eastAsia="zh-CN"/>
                <w14:textFill>
                  <w14:solidFill>
                    <w14:schemeClr w14:val="tx1"/>
                  </w14:solidFill>
                </w14:textFill>
              </w:rPr>
              <w:t>安康市妇幼保健院</w:t>
            </w:r>
            <w:r>
              <w:rPr>
                <w:rFonts w:hint="eastAsia" w:ascii="宋体" w:hAnsi="宋体" w:eastAsia="宋体" w:cs="宋体"/>
                <w:color w:val="000000" w:themeColor="text1"/>
                <w:sz w:val="24"/>
                <w:szCs w:val="24"/>
                <w:highlight w:val="none"/>
                <w:lang w:val="en-US" w:eastAsia="zh-CN"/>
                <w14:textFill>
                  <w14:solidFill>
                    <w14:schemeClr w14:val="tx1"/>
                  </w14:solidFill>
                </w14:textFill>
              </w:rPr>
              <w:t>指定地点</w:t>
            </w:r>
          </w:p>
        </w:tc>
      </w:tr>
      <w:tr w14:paraId="75FDCD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6" w:hRule="atLeast"/>
        </w:trPr>
        <w:tc>
          <w:tcPr>
            <w:tcW w:w="746" w:type="dxa"/>
            <w:noWrap w:val="0"/>
            <w:vAlign w:val="center"/>
          </w:tcPr>
          <w:p w14:paraId="4059FCF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2874" w:type="dxa"/>
            <w:noWrap w:val="0"/>
            <w:vAlign w:val="center"/>
          </w:tcPr>
          <w:p w14:paraId="69475266">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质量要求及验收标准</w:t>
            </w:r>
          </w:p>
        </w:tc>
        <w:tc>
          <w:tcPr>
            <w:tcW w:w="6475" w:type="dxa"/>
            <w:noWrap w:val="0"/>
            <w:vAlign w:val="center"/>
          </w:tcPr>
          <w:p w14:paraId="20D2789F">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达到</w:t>
            </w:r>
            <w:r>
              <w:rPr>
                <w:rFonts w:hint="eastAsia" w:ascii="宋体" w:hAnsi="宋体" w:eastAsia="宋体" w:cs="宋体"/>
                <w:color w:val="000000" w:themeColor="text1"/>
                <w:sz w:val="24"/>
                <w:szCs w:val="24"/>
                <w:highlight w:val="none"/>
                <w14:textFill>
                  <w14:solidFill>
                    <w14:schemeClr w14:val="tx1"/>
                  </w14:solidFill>
                </w14:textFill>
              </w:rPr>
              <w:t>国家标准、行业标准。</w:t>
            </w:r>
          </w:p>
        </w:tc>
      </w:tr>
      <w:tr w14:paraId="14CBE6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4" w:hRule="atLeast"/>
        </w:trPr>
        <w:tc>
          <w:tcPr>
            <w:tcW w:w="746" w:type="dxa"/>
            <w:noWrap w:val="0"/>
            <w:vAlign w:val="center"/>
          </w:tcPr>
          <w:p w14:paraId="0829F795">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2874" w:type="dxa"/>
            <w:noWrap w:val="0"/>
            <w:vAlign w:val="center"/>
          </w:tcPr>
          <w:p w14:paraId="2AD402E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资格证明文件</w:t>
            </w:r>
          </w:p>
        </w:tc>
        <w:tc>
          <w:tcPr>
            <w:tcW w:w="6475" w:type="dxa"/>
            <w:noWrap w:val="0"/>
            <w:vAlign w:val="center"/>
          </w:tcPr>
          <w:p w14:paraId="29C62817">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须符合《中华人民共和国政府采购法》第二十二条有关规定：</w:t>
            </w:r>
          </w:p>
          <w:p w14:paraId="1B51068D">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（1）具有独立承担民事责任的能力，提供营业执照、税务登记证、组织机构代码证或登载有统一社会信用代码的营业执照（或《事业单位法人证书》或其他合法组织登记证书、自然人只须提交身份证复印件）；</w:t>
            </w:r>
          </w:p>
          <w:p w14:paraId="304447D8">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（2）提供法定代表人授权书（附法定代表人身份证复印件）及被授权代表身份证复印件（法定代表人直接参加只须提供法定代表人身份证复印件）；</w:t>
            </w:r>
          </w:p>
          <w:p w14:paraId="6260EB5C">
            <w:pPr>
              <w:keepLines w:val="0"/>
              <w:pageBreakBefore w:val="0"/>
              <w:overflowPunct w:val="0"/>
              <w:topLinePunct w:val="0"/>
              <w:bidi w:val="0"/>
              <w:spacing w:line="4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财务状况报告：提供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p>
          <w:p w14:paraId="0CD444BE">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税收缴纳证明:自 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textWrapping"/>
            </w:r>
            <w:r>
              <w:rPr>
                <w:rFonts w:hint="eastAsia" w:ascii="宋体" w:hAnsi="宋体" w:eastAsia="宋体" w:cs="宋体"/>
                <w:color w:val="000000" w:themeColor="text1"/>
                <w:sz w:val="24"/>
                <w:szCs w:val="24"/>
                <w:highlight w:val="none"/>
                <w:lang w:val="en-US" w:eastAsia="zh-CN"/>
                <w14:textFill>
                  <w14:solidFill>
                    <w14:schemeClr w14:val="tx1"/>
                  </w14:solidFill>
                </w14:textFill>
              </w:rPr>
              <w:t>（5）社会保障资金缴纳证明：</w:t>
            </w:r>
            <w:r>
              <w:rPr>
                <w:rFonts w:hint="eastAsia" w:ascii="宋体" w:hAnsi="宋体" w:cs="宋体"/>
                <w:color w:val="000000" w:themeColor="text1"/>
                <w:sz w:val="24"/>
                <w:szCs w:val="24"/>
                <w:highlight w:val="none"/>
                <w:lang w:val="en-US" w:eastAsia="zh-CN"/>
                <w14:textFill>
                  <w14:solidFill>
                    <w14:schemeClr w14:val="tx1"/>
                  </w14:solidFill>
                </w14:textFill>
              </w:rPr>
              <w:t>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7A75A7BD">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参加政府采购活动前三年内（2023年1月至今），在经营活动中没有重大违法记录的书面声明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5ED931B0">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（7）具备履行合同所必需的设备和专业技术能力的书面声明（格式自拟）；</w:t>
            </w:r>
          </w:p>
          <w:p w14:paraId="1AAAB59B">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供应商不得被列为“信用中国”网站(www.creditchina.gov.cn)“信用服务”中“失信被执行人、重大税收违法案件当事人名单、政府采购严重违法失信名单”和中国政府采购网(www.ccgp.gov.cn)“政府采购严重违法失信行为信息记录”</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78B0AC31">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生产厂家投标需提供《药品生产许可证》及药品批准文号或《药品注册证书》。代理商投标须提供《药品经营许可证》（经营范围含叶酸）及所投药品的合法上市证明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3FFDC272">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）本项目不接受联合体投标。</w:t>
            </w:r>
          </w:p>
          <w:p w14:paraId="7C53BAB8">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3"/>
                <w:szCs w:val="23"/>
                <w:highlight w:val="none"/>
                <w14:textOutline w14:w="4358" w14:cap="sq" w14:cmpd="sng">
                  <w14:solidFill>
                    <w14:srgbClr w14:val="000000"/>
                  </w14:solidFill>
                  <w14:prstDash w14:val="solid"/>
                  <w14:bevel/>
                </w14:textOutline>
                <w14:textFill>
                  <w14:solidFill>
                    <w14:schemeClr w14:val="tx1"/>
                  </w14:solidFill>
                </w14:textFill>
              </w:rPr>
              <w:t>注</w:t>
            </w:r>
            <w:r>
              <w:rPr>
                <w:rFonts w:hint="eastAsia" w:ascii="宋体" w:hAnsi="宋体" w:eastAsia="宋体" w:cs="宋体"/>
                <w:color w:val="000000" w:themeColor="text1"/>
                <w:spacing w:val="6"/>
                <w:sz w:val="23"/>
                <w:szCs w:val="23"/>
                <w:highlight w:val="none"/>
                <w14:textOutline w14:w="4358" w14:cap="sq" w14:cmpd="sng">
                  <w14:solidFill>
                    <w14:srgbClr w14:val="000000"/>
                  </w14:solidFill>
                  <w14:prstDash w14:val="solid"/>
                  <w14:bevel/>
                </w14:textOutline>
                <w14:textFill>
                  <w14:solidFill>
                    <w14:schemeClr w14:val="tx1"/>
                  </w14:solidFill>
                </w14:textFill>
              </w:rPr>
              <w:t>：以上均为各投标供应商必备要求，不得缺项。</w:t>
            </w:r>
          </w:p>
        </w:tc>
      </w:tr>
      <w:tr w14:paraId="757719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5" w:hRule="atLeast"/>
        </w:trPr>
        <w:tc>
          <w:tcPr>
            <w:tcW w:w="746" w:type="dxa"/>
            <w:noWrap w:val="0"/>
            <w:vAlign w:val="center"/>
          </w:tcPr>
          <w:p w14:paraId="4B7101AF">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2874" w:type="dxa"/>
            <w:noWrap w:val="0"/>
            <w:vAlign w:val="top"/>
          </w:tcPr>
          <w:p w14:paraId="742A6AC1">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是否接受联合体谈判</w:t>
            </w:r>
          </w:p>
        </w:tc>
        <w:tc>
          <w:tcPr>
            <w:tcW w:w="6475" w:type="dxa"/>
            <w:noWrap w:val="0"/>
            <w:vAlign w:val="center"/>
          </w:tcPr>
          <w:p w14:paraId="4C94A4D0">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不接受。</w:t>
            </w:r>
          </w:p>
        </w:tc>
      </w:tr>
      <w:tr w14:paraId="6F26A2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3" w:hRule="atLeast"/>
        </w:trPr>
        <w:tc>
          <w:tcPr>
            <w:tcW w:w="746" w:type="dxa"/>
            <w:noWrap w:val="0"/>
            <w:vAlign w:val="center"/>
          </w:tcPr>
          <w:p w14:paraId="2EC6D5DE">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2874" w:type="dxa"/>
            <w:noWrap w:val="0"/>
            <w:vAlign w:val="center"/>
          </w:tcPr>
          <w:p w14:paraId="6B865A2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现场踏勘及答疑</w:t>
            </w:r>
          </w:p>
        </w:tc>
        <w:tc>
          <w:tcPr>
            <w:tcW w:w="6475" w:type="dxa"/>
            <w:noWrap w:val="0"/>
            <w:vAlign w:val="center"/>
          </w:tcPr>
          <w:p w14:paraId="3D197883">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本项目不统一组织现场踏勘，如响应供应商认为有必要，经采购单位允许，可自行踏勘现场，其相关费用及风险由其自行承担。</w:t>
            </w:r>
          </w:p>
        </w:tc>
      </w:tr>
      <w:tr w14:paraId="1398E7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3" w:hRule="atLeast"/>
        </w:trPr>
        <w:tc>
          <w:tcPr>
            <w:tcW w:w="746" w:type="dxa"/>
            <w:noWrap w:val="0"/>
            <w:vAlign w:val="center"/>
          </w:tcPr>
          <w:p w14:paraId="55F8D83C">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2874" w:type="dxa"/>
            <w:noWrap w:val="0"/>
            <w:vAlign w:val="center"/>
          </w:tcPr>
          <w:p w14:paraId="5BC85143">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供应商提出</w:t>
            </w:r>
          </w:p>
          <w:p w14:paraId="373AD7A1">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询问和质疑的时间</w:t>
            </w:r>
          </w:p>
        </w:tc>
        <w:tc>
          <w:tcPr>
            <w:tcW w:w="6475" w:type="dxa"/>
            <w:noWrap w:val="0"/>
            <w:vAlign w:val="center"/>
          </w:tcPr>
          <w:p w14:paraId="704B4B83">
            <w:pPr>
              <w:keepLines w:val="0"/>
              <w:pageBreakBefore w:val="0"/>
              <w:overflowPunct w:val="0"/>
              <w:topLinePunct w:val="0"/>
              <w:bidi w:val="0"/>
              <w:spacing w:line="400" w:lineRule="exact"/>
              <w:rPr>
                <w:rFonts w:hint="eastAsia" w:ascii="宋体" w:hAnsi="宋体" w:eastAsia="宋体" w:cs="宋体"/>
                <w:snapToGrid w:val="0"/>
                <w:color w:val="000000" w:themeColor="text1"/>
                <w:sz w:val="24"/>
                <w:szCs w:val="24"/>
                <w:highlight w:val="none"/>
                <w14:textFill>
                  <w14:solidFill>
                    <w14:schemeClr w14:val="tx1"/>
                  </w14:solidFill>
                </w14:textFill>
              </w:rPr>
            </w:pPr>
            <w:r>
              <w:rPr>
                <w:rFonts w:hint="eastAsia" w:ascii="宋体" w:hAnsi="宋体" w:eastAsia="宋体" w:cs="宋体"/>
                <w:snapToGrid w:val="0"/>
                <w:color w:val="000000" w:themeColor="text1"/>
                <w:sz w:val="24"/>
                <w:szCs w:val="24"/>
                <w:highlight w:val="none"/>
                <w14:textFill>
                  <w14:solidFill>
                    <w14:schemeClr w14:val="tx1"/>
                  </w14:solidFill>
                </w14:textFill>
              </w:rPr>
              <w:t>已经</w:t>
            </w:r>
            <w:r>
              <w:rPr>
                <w:rFonts w:hint="eastAsia" w:ascii="宋体" w:hAnsi="宋体" w:eastAsia="宋体" w:cs="宋体"/>
                <w:snapToGrid w:val="0"/>
                <w:color w:val="000000" w:themeColor="text1"/>
                <w:sz w:val="24"/>
                <w:szCs w:val="24"/>
                <w:highlight w:val="none"/>
                <w:lang w:val="en-US" w:eastAsia="zh-CN"/>
                <w14:textFill>
                  <w14:solidFill>
                    <w14:schemeClr w14:val="tx1"/>
                  </w14:solidFill>
                </w14:textFill>
              </w:rPr>
              <w:t>下载</w:t>
            </w:r>
            <w:r>
              <w:rPr>
                <w:rFonts w:hint="eastAsia" w:ascii="宋体" w:hAnsi="宋体" w:eastAsia="宋体" w:cs="宋体"/>
                <w:snapToGrid w:val="0"/>
                <w:color w:val="000000" w:themeColor="text1"/>
                <w:sz w:val="24"/>
                <w:szCs w:val="24"/>
                <w:highlight w:val="none"/>
                <w14:textFill>
                  <w14:solidFill>
                    <w14:schemeClr w14:val="tx1"/>
                  </w14:solidFill>
                </w14:textFill>
              </w:rPr>
              <w:t>竞争性谈判文件的供应商对竞争性谈判文件有询问或者质疑的，可以在本项目采购文件公告期限届满之日起7个工作日内，以书面形式（陕西省政府采购网上政府采购供应商质疑函范本）一次性向采购代理机构</w:t>
            </w:r>
            <w:r>
              <w:rPr>
                <w:rFonts w:hint="eastAsia" w:ascii="宋体" w:hAnsi="宋体" w:eastAsia="宋体" w:cs="宋体"/>
                <w:snapToGrid w:val="0"/>
                <w:color w:val="000000" w:themeColor="text1"/>
                <w:sz w:val="24"/>
                <w:szCs w:val="24"/>
                <w:highlight w:val="none"/>
                <w:lang w:val="en-US" w:eastAsia="zh-CN"/>
                <w14:textFill>
                  <w14:solidFill>
                    <w14:schemeClr w14:val="tx1"/>
                  </w14:solidFill>
                </w14:textFill>
              </w:rPr>
              <w:t>当面递交</w:t>
            </w:r>
            <w:r>
              <w:rPr>
                <w:rFonts w:hint="eastAsia" w:ascii="宋体" w:hAnsi="宋体" w:eastAsia="宋体" w:cs="宋体"/>
                <w:snapToGrid w:val="0"/>
                <w:color w:val="000000" w:themeColor="text1"/>
                <w:sz w:val="24"/>
                <w:szCs w:val="24"/>
                <w:highlight w:val="none"/>
                <w14:textFill>
                  <w14:solidFill>
                    <w14:schemeClr w14:val="tx1"/>
                  </w14:solidFill>
                </w14:textFill>
              </w:rPr>
              <w:t>，在此之后提出的询问和质疑均为无效，采购代理机构不予受理。</w:t>
            </w:r>
          </w:p>
        </w:tc>
      </w:tr>
      <w:tr w14:paraId="48D252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3" w:hRule="atLeast"/>
        </w:trPr>
        <w:tc>
          <w:tcPr>
            <w:tcW w:w="746" w:type="dxa"/>
            <w:noWrap w:val="0"/>
            <w:vAlign w:val="center"/>
          </w:tcPr>
          <w:p w14:paraId="236CE7EC">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2874" w:type="dxa"/>
            <w:noWrap w:val="0"/>
            <w:vAlign w:val="center"/>
          </w:tcPr>
          <w:p w14:paraId="329D70DC">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采购代理机构答疑的时间</w:t>
            </w:r>
          </w:p>
        </w:tc>
        <w:tc>
          <w:tcPr>
            <w:tcW w:w="6475" w:type="dxa"/>
            <w:noWrap w:val="0"/>
            <w:vAlign w:val="center"/>
          </w:tcPr>
          <w:p w14:paraId="06F9526B">
            <w:pPr>
              <w:keepLines w:val="0"/>
              <w:pageBreakBefore w:val="0"/>
              <w:overflowPunct w:val="0"/>
              <w:topLinePunct w:val="0"/>
              <w:bidi w:val="0"/>
              <w:spacing w:line="400" w:lineRule="exact"/>
              <w:rPr>
                <w:rFonts w:hint="eastAsia" w:ascii="宋体" w:hAnsi="宋体" w:eastAsia="宋体" w:cs="宋体"/>
                <w:snapToGrid w:val="0"/>
                <w:color w:val="000000" w:themeColor="text1"/>
                <w:sz w:val="24"/>
                <w:szCs w:val="24"/>
                <w:highlight w:val="none"/>
                <w14:textFill>
                  <w14:solidFill>
                    <w14:schemeClr w14:val="tx1"/>
                  </w14:solidFill>
                </w14:textFill>
              </w:rPr>
            </w:pPr>
            <w:r>
              <w:rPr>
                <w:rFonts w:hint="eastAsia" w:ascii="宋体" w:hAnsi="宋体" w:eastAsia="宋体" w:cs="宋体"/>
                <w:snapToGrid w:val="0"/>
                <w:color w:val="000000" w:themeColor="text1"/>
                <w:sz w:val="24"/>
                <w:szCs w:val="24"/>
                <w:highlight w:val="none"/>
                <w14:textFill>
                  <w14:solidFill>
                    <w14:schemeClr w14:val="tx1"/>
                  </w14:solidFill>
                </w14:textFill>
              </w:rPr>
              <w:t>对于供应商在规定时间内依法提出的询问和质疑，采购代理机构将在三个工作日内答复询问，七个工作日内答复质疑。若对竞争性谈判文件做出实质性变动，则按照相关规定延长谈判截止时间。</w:t>
            </w:r>
          </w:p>
        </w:tc>
      </w:tr>
      <w:tr w14:paraId="5E81EA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noWrap w:val="0"/>
            <w:vAlign w:val="center"/>
          </w:tcPr>
          <w:p w14:paraId="415293E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w:t>
            </w:r>
          </w:p>
        </w:tc>
        <w:tc>
          <w:tcPr>
            <w:tcW w:w="2874" w:type="dxa"/>
            <w:noWrap w:val="0"/>
            <w:vAlign w:val="center"/>
          </w:tcPr>
          <w:p w14:paraId="16190CC5">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谈判有效期</w:t>
            </w:r>
          </w:p>
        </w:tc>
        <w:tc>
          <w:tcPr>
            <w:tcW w:w="6475" w:type="dxa"/>
            <w:noWrap w:val="0"/>
            <w:vAlign w:val="center"/>
          </w:tcPr>
          <w:p w14:paraId="3A90A385">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90个日历日（从提交谈判响应文件截止之日算起）</w:t>
            </w:r>
          </w:p>
        </w:tc>
      </w:tr>
      <w:tr w14:paraId="1296E9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5" w:hRule="atLeast"/>
        </w:trPr>
        <w:tc>
          <w:tcPr>
            <w:tcW w:w="746" w:type="dxa"/>
            <w:noWrap w:val="0"/>
            <w:vAlign w:val="center"/>
          </w:tcPr>
          <w:p w14:paraId="4E773EB1">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w:t>
            </w:r>
          </w:p>
        </w:tc>
        <w:tc>
          <w:tcPr>
            <w:tcW w:w="2874" w:type="dxa"/>
            <w:noWrap w:val="0"/>
            <w:vAlign w:val="center"/>
          </w:tcPr>
          <w:p w14:paraId="0DF526C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转包与分包履约</w:t>
            </w:r>
          </w:p>
        </w:tc>
        <w:tc>
          <w:tcPr>
            <w:tcW w:w="6475" w:type="dxa"/>
            <w:noWrap w:val="0"/>
            <w:vAlign w:val="center"/>
          </w:tcPr>
          <w:p w14:paraId="018B032E">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不得转包</w:t>
            </w:r>
            <w:r>
              <w:rPr>
                <w:rFonts w:hint="eastAsia" w:ascii="宋体" w:hAnsi="宋体" w:eastAsia="宋体" w:cs="宋体"/>
                <w:color w:val="000000" w:themeColor="text1"/>
                <w:sz w:val="24"/>
                <w:szCs w:val="24"/>
                <w:highlight w:val="none"/>
                <w:lang w:val="en-US" w:eastAsia="zh-CN"/>
                <w14:textFill>
                  <w14:solidFill>
                    <w14:schemeClr w14:val="tx1"/>
                  </w14:solidFill>
                </w14:textFill>
              </w:rPr>
              <w:t>与分包</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tc>
      </w:tr>
      <w:tr w14:paraId="62A233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6" w:hRule="atLeast"/>
        </w:trPr>
        <w:tc>
          <w:tcPr>
            <w:tcW w:w="746" w:type="dxa"/>
            <w:noWrap w:val="0"/>
            <w:vAlign w:val="center"/>
          </w:tcPr>
          <w:p w14:paraId="6948175B">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w:t>
            </w:r>
          </w:p>
        </w:tc>
        <w:tc>
          <w:tcPr>
            <w:tcW w:w="2874" w:type="dxa"/>
            <w:noWrap w:val="0"/>
            <w:vAlign w:val="center"/>
          </w:tcPr>
          <w:p w14:paraId="48887519">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货物的合格来源</w:t>
            </w:r>
          </w:p>
        </w:tc>
        <w:tc>
          <w:tcPr>
            <w:tcW w:w="6475" w:type="dxa"/>
            <w:noWrap w:val="0"/>
            <w:vAlign w:val="center"/>
          </w:tcPr>
          <w:p w14:paraId="3E802841">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限中华人民共和国境内，不包括香港、澳门、台湾。</w:t>
            </w:r>
          </w:p>
        </w:tc>
      </w:tr>
      <w:tr w14:paraId="217945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10" w:hRule="atLeast"/>
        </w:trPr>
        <w:tc>
          <w:tcPr>
            <w:tcW w:w="746" w:type="dxa"/>
            <w:shd w:val="clear" w:color="auto" w:fill="auto"/>
            <w:noWrap w:val="0"/>
            <w:vAlign w:val="center"/>
          </w:tcPr>
          <w:p w14:paraId="3CF7269D">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w:t>
            </w:r>
          </w:p>
        </w:tc>
        <w:tc>
          <w:tcPr>
            <w:tcW w:w="2874" w:type="dxa"/>
            <w:noWrap w:val="0"/>
            <w:vAlign w:val="center"/>
          </w:tcPr>
          <w:p w14:paraId="0AA180B4">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备选谈判方案和报价</w:t>
            </w:r>
          </w:p>
        </w:tc>
        <w:tc>
          <w:tcPr>
            <w:tcW w:w="6475" w:type="dxa"/>
            <w:noWrap w:val="0"/>
            <w:vAlign w:val="center"/>
          </w:tcPr>
          <w:p w14:paraId="71C4C93B">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本项目不接受备选谈判方案。</w:t>
            </w:r>
          </w:p>
        </w:tc>
      </w:tr>
      <w:tr w14:paraId="484178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shd w:val="clear" w:color="auto" w:fill="auto"/>
            <w:noWrap w:val="0"/>
            <w:vAlign w:val="center"/>
          </w:tcPr>
          <w:p w14:paraId="3DBF2387">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p>
        </w:tc>
        <w:tc>
          <w:tcPr>
            <w:tcW w:w="2874" w:type="dxa"/>
            <w:noWrap w:val="0"/>
            <w:vAlign w:val="center"/>
          </w:tcPr>
          <w:p w14:paraId="116C49A3">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竞争性谈判响应文件提交地点及截止时间</w:t>
            </w:r>
          </w:p>
        </w:tc>
        <w:tc>
          <w:tcPr>
            <w:tcW w:w="6475" w:type="dxa"/>
            <w:noWrap w:val="0"/>
            <w:vAlign w:val="center"/>
          </w:tcPr>
          <w:p w14:paraId="530D9DE3">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29</w:t>
            </w:r>
            <w:r>
              <w:rPr>
                <w:rFonts w:hint="eastAsia" w:ascii="宋体" w:hAnsi="宋体" w:eastAsia="宋体" w:cs="宋体"/>
                <w:color w:val="000000" w:themeColor="text1"/>
                <w:sz w:val="24"/>
                <w:szCs w:val="24"/>
                <w:highlight w:val="none"/>
                <w:lang w:val="en-US" w:eastAsia="zh-CN"/>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 </w:t>
            </w:r>
            <w:r>
              <w:rPr>
                <w:rFonts w:hint="eastAsia" w:ascii="宋体" w:hAnsi="宋体" w:cs="宋体"/>
                <w:color w:val="000000" w:themeColor="text1"/>
                <w:sz w:val="24"/>
                <w:szCs w:val="24"/>
                <w:highlight w:val="non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 </w:t>
            </w:r>
          </w:p>
          <w:p w14:paraId="0DD78981">
            <w:pPr>
              <w:keepLines w:val="0"/>
              <w:pageBreakBefore w:val="0"/>
              <w:tabs>
                <w:tab w:val="left" w:pos="9720"/>
              </w:tabs>
              <w:overflowPunct w:val="0"/>
              <w:topLinePunct w:val="0"/>
              <w:bidi w:val="0"/>
              <w:spacing w:line="400" w:lineRule="exact"/>
              <w:ind w:left="840" w:hanging="960" w:hangingChars="4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点：全国公共资源交易中心平台 (陕西省.安康市)</w:t>
            </w:r>
          </w:p>
        </w:tc>
      </w:tr>
      <w:tr w14:paraId="64CC9E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shd w:val="clear" w:color="auto" w:fill="auto"/>
            <w:noWrap w:val="0"/>
            <w:vAlign w:val="center"/>
          </w:tcPr>
          <w:p w14:paraId="1B109D5B">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w:t>
            </w:r>
          </w:p>
        </w:tc>
        <w:tc>
          <w:tcPr>
            <w:tcW w:w="2874" w:type="dxa"/>
            <w:noWrap w:val="0"/>
            <w:vAlign w:val="center"/>
          </w:tcPr>
          <w:p w14:paraId="20B3F978">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时间、地点</w:t>
            </w:r>
          </w:p>
        </w:tc>
        <w:tc>
          <w:tcPr>
            <w:tcW w:w="6475" w:type="dxa"/>
            <w:noWrap w:val="0"/>
            <w:vAlign w:val="center"/>
          </w:tcPr>
          <w:p w14:paraId="262F7ED9">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29</w:t>
            </w:r>
            <w:r>
              <w:rPr>
                <w:rFonts w:hint="eastAsia" w:ascii="宋体" w:hAnsi="宋体" w:eastAsia="宋体" w:cs="宋体"/>
                <w:color w:val="000000" w:themeColor="text1"/>
                <w:sz w:val="24"/>
                <w:szCs w:val="24"/>
                <w:highlight w:val="none"/>
                <w:lang w:val="en-US" w:eastAsia="zh-CN"/>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 </w:t>
            </w:r>
            <w:r>
              <w:rPr>
                <w:rFonts w:hint="eastAsia" w:ascii="宋体" w:hAnsi="宋体" w:cs="宋体"/>
                <w:color w:val="000000" w:themeColor="text1"/>
                <w:sz w:val="24"/>
                <w:szCs w:val="24"/>
                <w:highlight w:val="none"/>
                <w:lang w:val="en-US" w:eastAsia="zh-CN"/>
                <w14:textFill>
                  <w14:solidFill>
                    <w14:schemeClr w14:val="tx1"/>
                  </w14:solidFill>
                </w14:textFill>
              </w:rPr>
              <w:t>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 </w:t>
            </w:r>
          </w:p>
          <w:p w14:paraId="582B97C8">
            <w:pPr>
              <w:keepLines w:val="0"/>
              <w:pageBreakBefore w:val="0"/>
              <w:tabs>
                <w:tab w:val="left" w:pos="9720"/>
              </w:tabs>
              <w:overflowPunct w:val="0"/>
              <w:topLinePunct w:val="0"/>
              <w:bidi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地点：全国公共资源交易中心平台 (陕西省.安康市) 不见面开标大厅</w:t>
            </w:r>
          </w:p>
        </w:tc>
      </w:tr>
      <w:tr w14:paraId="28F7F7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shd w:val="clear" w:color="auto" w:fill="auto"/>
            <w:noWrap w:val="0"/>
            <w:vAlign w:val="center"/>
          </w:tcPr>
          <w:p w14:paraId="7BD6A4DC">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874" w:type="dxa"/>
            <w:noWrap w:val="0"/>
            <w:vAlign w:val="center"/>
          </w:tcPr>
          <w:p w14:paraId="320510E5">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响应文件制作</w:t>
            </w:r>
          </w:p>
        </w:tc>
        <w:tc>
          <w:tcPr>
            <w:tcW w:w="6475" w:type="dxa"/>
            <w:noWrap w:val="0"/>
            <w:vAlign w:val="center"/>
          </w:tcPr>
          <w:p w14:paraId="26252554">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投标供应商须使用数字认证证书对投标文件进行签章、加密、递交及开标时解密等相关招标标事宜。如因投标供应商自身原因</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导致</w:t>
            </w:r>
            <w:r>
              <w:rPr>
                <w:rFonts w:hint="eastAsia" w:ascii="宋体" w:hAnsi="宋体" w:eastAsia="宋体" w:cs="宋体"/>
                <w:color w:val="000000" w:themeColor="text1"/>
                <w:sz w:val="24"/>
                <w:szCs w:val="24"/>
                <w:highlight w:val="none"/>
                <w14:textFill>
                  <w14:solidFill>
                    <w14:schemeClr w14:val="tx1"/>
                  </w14:solidFill>
                </w14:textFill>
              </w:rPr>
              <w:t>数字认证证书造成无法解密投标文件的，按无效投标处理。</w:t>
            </w:r>
          </w:p>
        </w:tc>
      </w:tr>
      <w:tr w14:paraId="163C86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50" w:hRule="atLeast"/>
        </w:trPr>
        <w:tc>
          <w:tcPr>
            <w:tcW w:w="746" w:type="dxa"/>
            <w:shd w:val="clear" w:color="auto" w:fill="auto"/>
            <w:noWrap w:val="0"/>
            <w:vAlign w:val="center"/>
          </w:tcPr>
          <w:p w14:paraId="76DF8695">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2874" w:type="dxa"/>
            <w:noWrap w:val="0"/>
            <w:vAlign w:val="center"/>
          </w:tcPr>
          <w:p w14:paraId="404DAE42">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谈判报价次数、谈判程序和最终报价的产生原则</w:t>
            </w:r>
          </w:p>
        </w:tc>
        <w:tc>
          <w:tcPr>
            <w:tcW w:w="6475" w:type="dxa"/>
            <w:noWrap w:val="0"/>
            <w:vAlign w:val="center"/>
          </w:tcPr>
          <w:p w14:paraId="21462D27">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谈判程序为：</w:t>
            </w:r>
          </w:p>
          <w:p w14:paraId="5400886C">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1、谈判小组对所有提交的响应文件进行评审；</w:t>
            </w:r>
          </w:p>
          <w:p w14:paraId="41B6B166">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2、谈判小组所有成员与供应商分别进行谈判；</w:t>
            </w:r>
          </w:p>
          <w:p w14:paraId="7B555E22">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3、供应商按照要求</w:t>
            </w:r>
            <w:r>
              <w:rPr>
                <w:rFonts w:hint="eastAsia" w:ascii="宋体" w:hAnsi="宋体" w:cs="宋体"/>
                <w:color w:val="000000" w:themeColor="text1"/>
                <w:sz w:val="24"/>
                <w:szCs w:val="24"/>
                <w:highlight w:val="none"/>
                <w:lang w:eastAsia="zh-CN"/>
                <w14:textFill>
                  <w14:solidFill>
                    <w14:schemeClr w14:val="tx1"/>
                  </w14:solidFill>
                </w14:textFill>
              </w:rPr>
              <w:t>进行多轮</w:t>
            </w:r>
            <w:r>
              <w:rPr>
                <w:rFonts w:hint="eastAsia" w:ascii="宋体" w:hAnsi="宋体" w:eastAsia="宋体" w:cs="宋体"/>
                <w:color w:val="000000" w:themeColor="text1"/>
                <w:sz w:val="24"/>
                <w:szCs w:val="24"/>
                <w:highlight w:val="none"/>
                <w14:textFill>
                  <w14:solidFill>
                    <w14:schemeClr w14:val="tx1"/>
                  </w14:solidFill>
                </w14:textFill>
              </w:rPr>
              <w:t>报价；</w:t>
            </w:r>
          </w:p>
          <w:p w14:paraId="42FBD847">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4、谈判小组评审、推荐成交候选人。</w:t>
            </w:r>
          </w:p>
          <w:p w14:paraId="537990D4">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在谈判过程中，谈判小组可以根据谈判文件和谈判情况实质性变动采购需求中的技术、服务要求以及合同草案条款，</w:t>
            </w:r>
            <w:r>
              <w:rPr>
                <w:rFonts w:hint="eastAsia" w:ascii="宋体" w:hAnsi="宋体" w:cs="宋体"/>
                <w:color w:val="000000" w:themeColor="text1"/>
                <w:sz w:val="24"/>
                <w:szCs w:val="24"/>
                <w:highlight w:val="none"/>
                <w:lang w:eastAsia="zh-CN"/>
                <w14:textFill>
                  <w14:solidFill>
                    <w14:schemeClr w14:val="tx1"/>
                  </w14:solidFill>
                </w14:textFill>
              </w:rPr>
              <w:t>最后一</w:t>
            </w:r>
            <w:r>
              <w:rPr>
                <w:rFonts w:hint="eastAsia" w:ascii="宋体" w:hAnsi="宋体" w:eastAsia="宋体" w:cs="宋体"/>
                <w:color w:val="000000" w:themeColor="text1"/>
                <w:sz w:val="24"/>
                <w:szCs w:val="24"/>
                <w:highlight w:val="none"/>
                <w14:textFill>
                  <w14:solidFill>
                    <w14:schemeClr w14:val="tx1"/>
                  </w14:solidFill>
                </w14:textFill>
              </w:rPr>
              <w:t>次报价为最终报价。如采购需求没有实质性变化，各供应商的报价应逐次降低，本次报价超过上次报价的，为无效报价。</w:t>
            </w:r>
          </w:p>
        </w:tc>
      </w:tr>
      <w:tr w14:paraId="148AD3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0" w:hRule="atLeast"/>
        </w:trPr>
        <w:tc>
          <w:tcPr>
            <w:tcW w:w="746" w:type="dxa"/>
            <w:shd w:val="clear" w:color="auto" w:fill="auto"/>
            <w:noWrap w:val="0"/>
            <w:vAlign w:val="center"/>
          </w:tcPr>
          <w:p w14:paraId="59A5033D">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874" w:type="dxa"/>
            <w:noWrap w:val="0"/>
            <w:vAlign w:val="center"/>
          </w:tcPr>
          <w:p w14:paraId="777C5F0E">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评审办法及标准</w:t>
            </w:r>
          </w:p>
        </w:tc>
        <w:tc>
          <w:tcPr>
            <w:tcW w:w="6475" w:type="dxa"/>
            <w:noWrap w:val="0"/>
            <w:vAlign w:val="center"/>
          </w:tcPr>
          <w:p w14:paraId="719DA15A">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最低评标价法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谈判</w:t>
            </w:r>
            <w:r>
              <w:rPr>
                <w:rFonts w:hint="eastAsia" w:ascii="宋体" w:hAnsi="宋体" w:eastAsia="宋体" w:cs="宋体"/>
                <w:color w:val="000000" w:themeColor="text1"/>
                <w:sz w:val="24"/>
                <w:szCs w:val="24"/>
                <w:highlight w:val="none"/>
                <w14:textFill>
                  <w14:solidFill>
                    <w14:schemeClr w14:val="tx1"/>
                  </w14:solidFill>
                </w14:textFill>
              </w:rPr>
              <w:t>文件第三章评审办法。</w:t>
            </w:r>
          </w:p>
        </w:tc>
      </w:tr>
      <w:tr w14:paraId="7127CA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5" w:hRule="atLeast"/>
        </w:trPr>
        <w:tc>
          <w:tcPr>
            <w:tcW w:w="746" w:type="dxa"/>
            <w:shd w:val="clear" w:color="auto" w:fill="auto"/>
            <w:noWrap w:val="0"/>
            <w:vAlign w:val="center"/>
          </w:tcPr>
          <w:p w14:paraId="0C4A730D">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2874" w:type="dxa"/>
            <w:noWrap w:val="0"/>
            <w:vAlign w:val="top"/>
          </w:tcPr>
          <w:p w14:paraId="7CED8F5D">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p>
          <w:p w14:paraId="68B64C34">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p>
          <w:p w14:paraId="4A849FF3">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p>
          <w:p w14:paraId="5F72916A">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w:t>
            </w:r>
          </w:p>
        </w:tc>
        <w:tc>
          <w:tcPr>
            <w:tcW w:w="6475" w:type="dxa"/>
            <w:noWrap w:val="0"/>
            <w:vAlign w:val="top"/>
          </w:tcPr>
          <w:p w14:paraId="661D3370">
            <w:pPr>
              <w:keepLines w:val="0"/>
              <w:pageBreakBefore w:val="0"/>
              <w:overflowPunct w:val="0"/>
              <w:topLinePunct w:val="0"/>
              <w:bidi w:val="0"/>
              <w:spacing w:line="400" w:lineRule="exact"/>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报价以人民币报价</w:t>
            </w:r>
          </w:p>
          <w:p w14:paraId="4780749F">
            <w:pPr>
              <w:keepLines w:val="0"/>
              <w:pageBreakBefore w:val="0"/>
              <w:overflowPunct w:val="0"/>
              <w:topLinePunct w:val="0"/>
              <w:bidi w:val="0"/>
              <w:spacing w:line="400" w:lineRule="exact"/>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投标人所报的价格应考虑到可能发生的所有与完成本项目</w:t>
            </w:r>
            <w:r>
              <w:rPr>
                <w:rFonts w:hint="eastAsia" w:ascii="宋体" w:hAnsi="宋体" w:cs="宋体"/>
                <w:color w:val="000000" w:themeColor="text1"/>
                <w:sz w:val="24"/>
                <w:szCs w:val="24"/>
                <w:highlight w:val="none"/>
                <w:lang w:val="en-US" w:eastAsia="zh-CN"/>
                <w14:textFill>
                  <w14:solidFill>
                    <w14:schemeClr w14:val="tx1"/>
                  </w14:solidFill>
                </w14:textFill>
              </w:rPr>
              <w:t>供货、配套服务中涉及的所有费用</w:t>
            </w:r>
            <w:r>
              <w:rPr>
                <w:rFonts w:hint="eastAsia" w:ascii="宋体" w:hAnsi="宋体" w:eastAsia="宋体" w:cs="宋体"/>
                <w:color w:val="000000" w:themeColor="text1"/>
                <w:sz w:val="24"/>
                <w:szCs w:val="24"/>
                <w:highlight w:val="none"/>
                <w14:textFill>
                  <w14:solidFill>
                    <w14:schemeClr w14:val="tx1"/>
                  </w14:solidFill>
                </w14:textFill>
              </w:rPr>
              <w:t>。</w:t>
            </w:r>
          </w:p>
          <w:p w14:paraId="20011B2E">
            <w:pPr>
              <w:keepLines w:val="0"/>
              <w:pageBreakBefore w:val="0"/>
              <w:overflowPunct w:val="0"/>
              <w:topLinePunct w:val="0"/>
              <w:bidi w:val="0"/>
              <w:spacing w:line="400" w:lineRule="exact"/>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投标人必须对所投项目进行完整报价，不接受(将拒绝)只对部分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货物</w:t>
            </w:r>
            <w:r>
              <w:rPr>
                <w:rFonts w:hint="eastAsia" w:ascii="宋体" w:hAnsi="宋体" w:eastAsia="宋体" w:cs="宋体"/>
                <w:color w:val="000000" w:themeColor="text1"/>
                <w:sz w:val="24"/>
                <w:szCs w:val="24"/>
                <w:highlight w:val="none"/>
                <w14:textFill>
                  <w14:solidFill>
                    <w14:schemeClr w14:val="tx1"/>
                  </w14:solidFill>
                </w14:textFill>
              </w:rPr>
              <w:t>服务进行报价的投标。谈判报价表中标明本次货物的所有单项价格和总价，任何有选择的报价将不予接受，否则按无效谈判处理。</w:t>
            </w:r>
          </w:p>
        </w:tc>
      </w:tr>
      <w:tr w14:paraId="64115B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5" w:hRule="atLeast"/>
        </w:trPr>
        <w:tc>
          <w:tcPr>
            <w:tcW w:w="746" w:type="dxa"/>
            <w:shd w:val="clear" w:color="auto" w:fill="auto"/>
            <w:noWrap w:val="0"/>
            <w:vAlign w:val="center"/>
          </w:tcPr>
          <w:p w14:paraId="2F13971C">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2874" w:type="dxa"/>
            <w:noWrap w:val="0"/>
            <w:vAlign w:val="center"/>
          </w:tcPr>
          <w:p w14:paraId="34D9FA1F">
            <w:pPr>
              <w:keepLines w:val="0"/>
              <w:pageBreakBefore w:val="0"/>
              <w:overflowPunct w:val="0"/>
              <w:topLinePunct w:val="0"/>
              <w:bidi w:val="0"/>
              <w:spacing w:line="400" w:lineRule="exact"/>
              <w:ind w:firstLine="960" w:firstLineChars="4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其他说明</w:t>
            </w:r>
          </w:p>
        </w:tc>
        <w:tc>
          <w:tcPr>
            <w:tcW w:w="6475" w:type="dxa"/>
            <w:noWrap w:val="0"/>
            <w:vAlign w:val="center"/>
          </w:tcPr>
          <w:p w14:paraId="49B4BAE5">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本次谈判的最小单元为“项目”。供应商可根据自身的资质情况和经营范围进行谈判，不得将其子目再行分解或针对本项目中的品目进行不完全谈判，任何不完全的响应将会被拒绝。</w:t>
            </w:r>
          </w:p>
        </w:tc>
      </w:tr>
      <w:tr w14:paraId="31EEDE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46" w:type="dxa"/>
            <w:shd w:val="clear" w:color="auto" w:fill="auto"/>
            <w:noWrap w:val="0"/>
            <w:vAlign w:val="center"/>
          </w:tcPr>
          <w:p w14:paraId="2FCBEAF2">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p>
        </w:tc>
        <w:tc>
          <w:tcPr>
            <w:tcW w:w="2874" w:type="dxa"/>
            <w:noWrap w:val="0"/>
            <w:vAlign w:val="center"/>
          </w:tcPr>
          <w:p w14:paraId="6730985E">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采购代理服务费</w:t>
            </w:r>
          </w:p>
        </w:tc>
        <w:tc>
          <w:tcPr>
            <w:tcW w:w="6475" w:type="dxa"/>
            <w:noWrap w:val="0"/>
            <w:vAlign w:val="center"/>
          </w:tcPr>
          <w:p w14:paraId="1804C782">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代理</w:t>
            </w:r>
            <w:r>
              <w:rPr>
                <w:rFonts w:hint="eastAsia" w:ascii="宋体" w:hAnsi="宋体" w:eastAsia="宋体" w:cs="宋体"/>
                <w:color w:val="000000" w:themeColor="text1"/>
                <w:sz w:val="24"/>
                <w:szCs w:val="24"/>
                <w:highlight w:val="none"/>
                <w14:textFill>
                  <w14:solidFill>
                    <w14:schemeClr w14:val="tx1"/>
                  </w14:solidFill>
                </w14:textFill>
              </w:rPr>
              <w:t>服务费</w:t>
            </w:r>
            <w:r>
              <w:rPr>
                <w:rFonts w:hint="eastAsia" w:ascii="宋体" w:hAnsi="宋体" w:eastAsia="宋体" w:cs="宋体"/>
                <w:color w:val="000000" w:themeColor="text1"/>
                <w:sz w:val="24"/>
                <w:szCs w:val="24"/>
                <w:highlight w:val="none"/>
                <w:lang w:val="en-US" w:eastAsia="zh-CN"/>
                <w14:textFill>
                  <w14:solidFill>
                    <w14:schemeClr w14:val="tx1"/>
                  </w14:solidFill>
                </w14:textFill>
              </w:rPr>
              <w:t>在招标结束后领取中标通知书时</w:t>
            </w:r>
            <w:r>
              <w:rPr>
                <w:rFonts w:hint="eastAsia" w:ascii="宋体" w:hAnsi="宋体" w:cs="宋体"/>
                <w:color w:val="000000" w:themeColor="text1"/>
                <w:sz w:val="24"/>
                <w:szCs w:val="24"/>
                <w:highlight w:val="none"/>
                <w:lang w:val="en-US" w:eastAsia="zh-CN"/>
                <w14:textFill>
                  <w14:solidFill>
                    <w14:schemeClr w14:val="tx1"/>
                  </w14:solidFill>
                </w14:textFill>
              </w:rPr>
              <w:t>由中标单位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向</w:t>
            </w:r>
            <w:r>
              <w:rPr>
                <w:rFonts w:hint="eastAsia" w:ascii="宋体" w:hAnsi="宋体" w:eastAsia="宋体" w:cs="宋体"/>
                <w:color w:val="000000" w:themeColor="text1"/>
                <w:sz w:val="24"/>
                <w:szCs w:val="24"/>
                <w:highlight w:val="none"/>
                <w14:textFill>
                  <w14:solidFill>
                    <w14:schemeClr w14:val="tx1"/>
                  </w14:solidFill>
                </w14:textFill>
              </w:rPr>
              <w:t>代理机构支付。</w:t>
            </w:r>
          </w:p>
          <w:p w14:paraId="77AC7F27">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招标代理服务费依据《关于进一步放开建设项目专业服务价格的通知》发改价格〔2015〕299号文的规定。</w:t>
            </w:r>
          </w:p>
          <w:p w14:paraId="25E1B321">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本项目代理费6000.00元，</w:t>
            </w:r>
            <w:r>
              <w:rPr>
                <w:rFonts w:hint="eastAsia" w:ascii="宋体" w:hAnsi="宋体" w:eastAsia="宋体" w:cs="宋体"/>
                <w:color w:val="000000" w:themeColor="text1"/>
                <w:sz w:val="24"/>
                <w:szCs w:val="24"/>
                <w:highlight w:val="none"/>
                <w:lang w:val="en-US" w:eastAsia="zh-CN"/>
                <w14:textFill>
                  <w14:solidFill>
                    <w14:schemeClr w14:val="tx1"/>
                  </w14:solidFill>
                </w14:textFill>
              </w:rPr>
              <w:t>代理</w:t>
            </w:r>
            <w:r>
              <w:rPr>
                <w:rFonts w:hint="eastAsia" w:ascii="宋体" w:hAnsi="宋体" w:eastAsia="宋体" w:cs="宋体"/>
                <w:color w:val="000000" w:themeColor="text1"/>
                <w:sz w:val="24"/>
                <w:szCs w:val="24"/>
                <w:highlight w:val="none"/>
                <w14:textFill>
                  <w14:solidFill>
                    <w14:schemeClr w14:val="tx1"/>
                  </w14:solidFill>
                </w14:textFill>
              </w:rPr>
              <w:t>服务费缴纳方式：</w:t>
            </w:r>
            <w:r>
              <w:rPr>
                <w:rFonts w:hint="eastAsia" w:ascii="宋体" w:hAnsi="宋体" w:cs="宋体"/>
                <w:color w:val="000000" w:themeColor="text1"/>
                <w:sz w:val="24"/>
                <w:szCs w:val="24"/>
                <w:highlight w:val="none"/>
                <w:lang w:val="en-US" w:eastAsia="zh-CN"/>
                <w14:textFill>
                  <w14:solidFill>
                    <w14:schemeClr w14:val="tx1"/>
                  </w14:solidFill>
                </w14:textFill>
              </w:rPr>
              <w:t>对公</w:t>
            </w:r>
            <w:r>
              <w:rPr>
                <w:rFonts w:hint="eastAsia" w:ascii="宋体" w:hAnsi="宋体" w:eastAsia="宋体" w:cs="宋体"/>
                <w:color w:val="000000" w:themeColor="text1"/>
                <w:sz w:val="24"/>
                <w:szCs w:val="24"/>
                <w:highlight w:val="none"/>
                <w14:textFill>
                  <w14:solidFill>
                    <w14:schemeClr w14:val="tx1"/>
                  </w14:solidFill>
                </w14:textFill>
              </w:rPr>
              <w:t>银行转账</w:t>
            </w:r>
            <w:r>
              <w:rPr>
                <w:rFonts w:hint="eastAsia" w:ascii="宋体" w:hAnsi="宋体" w:cs="宋体"/>
                <w:color w:val="000000" w:themeColor="text1"/>
                <w:sz w:val="24"/>
                <w:szCs w:val="24"/>
                <w:highlight w:val="none"/>
                <w:lang w:val="en-US" w:eastAsia="zh-CN"/>
                <w14:textFill>
                  <w14:solidFill>
                    <w14:schemeClr w14:val="tx1"/>
                  </w14:solidFill>
                </w14:textFill>
              </w:rPr>
              <w:t>或现金</w:t>
            </w:r>
            <w:r>
              <w:rPr>
                <w:rFonts w:hint="eastAsia" w:ascii="宋体" w:hAnsi="宋体" w:eastAsia="宋体" w:cs="宋体"/>
                <w:color w:val="000000" w:themeColor="text1"/>
                <w:sz w:val="24"/>
                <w:szCs w:val="24"/>
                <w:highlight w:val="none"/>
                <w14:textFill>
                  <w14:solidFill>
                    <w14:schemeClr w14:val="tx1"/>
                  </w14:solidFill>
                </w14:textFill>
              </w:rPr>
              <w:t>。</w:t>
            </w:r>
          </w:p>
          <w:p w14:paraId="0C92DF5A">
            <w:pPr>
              <w:keepLines w:val="0"/>
              <w:pageBreakBefore w:val="0"/>
              <w:overflowPunct w:val="0"/>
              <w:topLinePunct w:val="0"/>
              <w:bidi w:val="0"/>
              <w:spacing w:line="400" w:lineRule="exac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备注：</w:t>
            </w:r>
          </w:p>
          <w:p w14:paraId="5E1B57E8">
            <w:pPr>
              <w:keepLines w:val="0"/>
              <w:pageBreakBefore w:val="0"/>
              <w:overflowPunct w:val="0"/>
              <w:topLinePunct w:val="0"/>
              <w:bidi w:val="0"/>
              <w:spacing w:line="4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开户名称：安康华昊智远项目管理有限公司</w:t>
            </w:r>
          </w:p>
          <w:p w14:paraId="374EA603">
            <w:pPr>
              <w:keepLines w:val="0"/>
              <w:pageBreakBefore w:val="0"/>
              <w:overflowPunct w:val="0"/>
              <w:topLinePunct w:val="0"/>
              <w:bidi w:val="0"/>
              <w:spacing w:line="40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开户银行：中国工商银行安康汉滨支行</w:t>
            </w:r>
          </w:p>
          <w:p w14:paraId="34512D93">
            <w:pPr>
              <w:keepLines w:val="0"/>
              <w:pageBreakBefore w:val="0"/>
              <w:overflowPunct w:val="0"/>
              <w:topLinePunct w:val="0"/>
              <w:bidi w:val="0"/>
              <w:spacing w:line="40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账    号：2607060209200239016</w:t>
            </w:r>
          </w:p>
        </w:tc>
      </w:tr>
      <w:tr w14:paraId="2B33AE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46" w:type="dxa"/>
            <w:shd w:val="clear" w:color="auto" w:fill="auto"/>
            <w:noWrap w:val="0"/>
            <w:vAlign w:val="center"/>
          </w:tcPr>
          <w:p w14:paraId="2913719A">
            <w:pPr>
              <w:keepLines w:val="0"/>
              <w:pageBreakBefore w:val="0"/>
              <w:overflowPunct w:val="0"/>
              <w:topLinePunct w:val="0"/>
              <w:bidi w:val="0"/>
              <w:spacing w:line="400" w:lineRule="exact"/>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bookmarkStart w:id="15" w:name="_Toc222740110"/>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p>
        </w:tc>
        <w:tc>
          <w:tcPr>
            <w:tcW w:w="2874" w:type="dxa"/>
            <w:noWrap w:val="0"/>
            <w:vAlign w:val="center"/>
          </w:tcPr>
          <w:p w14:paraId="2F2F90E4">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中小企业政策</w:t>
            </w:r>
          </w:p>
        </w:tc>
        <w:tc>
          <w:tcPr>
            <w:tcW w:w="6475" w:type="dxa"/>
            <w:noWrap w:val="0"/>
            <w:vAlign w:val="center"/>
          </w:tcPr>
          <w:p w14:paraId="51237109">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1、采购标的</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为“</w:t>
            </w:r>
            <w:r>
              <w:rPr>
                <w:rFonts w:hint="eastAsia" w:ascii="宋体" w:hAnsi="宋体" w:eastAsia="宋体" w:cs="宋体"/>
                <w:color w:val="000000" w:themeColor="text1"/>
                <w:sz w:val="24"/>
                <w:szCs w:val="24"/>
                <w:highlight w:val="none"/>
                <w:lang w:eastAsia="zh-CN"/>
                <w14:textFill>
                  <w14:solidFill>
                    <w14:schemeClr w14:val="tx1"/>
                  </w14:solidFill>
                </w14:textFill>
              </w:rPr>
              <w:t>叶酸片</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对应的中小企业划分标准所属行业：</w:t>
            </w:r>
            <w:r>
              <w:rPr>
                <w:rFonts w:hint="eastAsia" w:ascii="宋体" w:hAnsi="宋体" w:cs="宋体"/>
                <w:b/>
                <w:bCs/>
                <w:color w:val="000000" w:themeColor="text1"/>
                <w:sz w:val="24"/>
                <w:szCs w:val="24"/>
                <w:highlight w:val="none"/>
                <w:shd w:val="clear" w:color="auto" w:fill="FFFFFF"/>
                <w:lang w:val="en-US" w:eastAsia="zh-CN"/>
                <w14:textFill>
                  <w14:solidFill>
                    <w14:schemeClr w14:val="tx1"/>
                  </w14:solidFill>
                </w14:textFill>
              </w:rPr>
              <w:t>工</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业</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p>
          <w:p w14:paraId="6F5B0006">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2、本项目属性：货物类</w:t>
            </w:r>
          </w:p>
          <w:p w14:paraId="1FF3F47B">
            <w:pPr>
              <w:keepLines w:val="0"/>
              <w:pageBreakBefore w:val="0"/>
              <w:overflowPunct w:val="0"/>
              <w:topLinePunct w:val="0"/>
              <w:bidi w:val="0"/>
              <w:spacing w:line="400" w:lineRule="exact"/>
              <w:rPr>
                <w:rFonts w:hint="default"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3、各行业划分标准：</w:t>
            </w:r>
            <w:r>
              <w:rPr>
                <w:rFonts w:hint="eastAsia" w:ascii="宋体" w:hAnsi="宋体" w:cs="宋体"/>
                <w:b/>
                <w:bCs/>
                <w:color w:val="000000" w:themeColor="text1"/>
                <w:sz w:val="24"/>
                <w:szCs w:val="24"/>
                <w:highlight w:val="none"/>
                <w:shd w:val="clear" w:color="auto" w:fill="FFFFFF"/>
                <w:lang w:val="en-US" w:eastAsia="zh-CN"/>
                <w14:textFill>
                  <w14:solidFill>
                    <w14:schemeClr w14:val="tx1"/>
                  </w14:solidFill>
                </w14:textFill>
              </w:rPr>
              <w:t>工业。从业人员1000人以下或营业收入40000万元以下的为中小微型企业。其中，从业人员300人及以上，且营业收入2000万元及以上的为中型企业;从业员20人及以上，且营业收入300万元及以上的为小型企业;从业人员20人以下或营业收入300万元以下的为微型企业。</w:t>
            </w:r>
          </w:p>
        </w:tc>
      </w:tr>
      <w:tr w14:paraId="5C5742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46" w:type="dxa"/>
            <w:shd w:val="clear" w:color="auto" w:fill="auto"/>
            <w:noWrap w:val="0"/>
            <w:vAlign w:val="center"/>
          </w:tcPr>
          <w:p w14:paraId="05C00FF3">
            <w:pPr>
              <w:keepLines w:val="0"/>
              <w:pageBreakBefore w:val="0"/>
              <w:overflowPunct w:val="0"/>
              <w:topLinePunct w:val="0"/>
              <w:bidi w:val="0"/>
              <w:spacing w:line="400" w:lineRule="exact"/>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29</w:t>
            </w:r>
          </w:p>
        </w:tc>
        <w:tc>
          <w:tcPr>
            <w:tcW w:w="2874" w:type="dxa"/>
            <w:noWrap w:val="0"/>
            <w:vAlign w:val="center"/>
          </w:tcPr>
          <w:p w14:paraId="5BD561C0">
            <w:pPr>
              <w:keepLines w:val="0"/>
              <w:pageBreakBefore w:val="0"/>
              <w:overflowPunct w:val="0"/>
              <w:topLinePunct w:val="0"/>
              <w:bidi w:val="0"/>
              <w:spacing w:line="400" w:lineRule="exact"/>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其他</w:t>
            </w:r>
          </w:p>
        </w:tc>
        <w:tc>
          <w:tcPr>
            <w:tcW w:w="6475" w:type="dxa"/>
            <w:noWrap w:val="0"/>
            <w:vAlign w:val="center"/>
          </w:tcPr>
          <w:p w14:paraId="7D7419AD">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1、电子招标文件下载                                                                                                                </w:t>
            </w:r>
          </w:p>
          <w:p w14:paraId="6982C4D3">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（1）供应商登录全国公共资源交易平台（陕西省）网站(电子交易平台-企业端）后，在“我的项目”中点击“项目流程-交易文件下载”下载电子招标文件（*.SXSZF）；</w:t>
            </w:r>
          </w:p>
          <w:p w14:paraId="516104CA">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注意：该项目如有变更文件，则应点击“项目流程 答疑文件下载”下载更新后的电子招标文件（*.SXSZF），使用旧版电子招标文件制作的电子投标文件，系统将拒绝接收。</w:t>
            </w:r>
          </w:p>
          <w:p w14:paraId="11F7474F">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2、电子招标文件需要使用专用软件打开、浏览</w:t>
            </w:r>
          </w:p>
          <w:p w14:paraId="13E2BE72">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供应商登录全国公共资源交易平台（陕西省）网站“服务指南”栏目“下载专区”中免费下载“陕西省公共资源交易平台政府采购电子标书制作工具”，并升级至最新版本，使用该客户端可以打开电子招标文件。软件操作手册详见全国公共资源交易平台（陕西省）网站“服务指南”栏目“下载专区”中的《陕西省公共资源交易（政府采购类）投标文件制作软件操作手册》。</w:t>
            </w:r>
          </w:p>
          <w:p w14:paraId="25D3B523">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3、制作电子投标文件</w:t>
            </w:r>
          </w:p>
          <w:p w14:paraId="7B1B4C1F">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投标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20A646B3">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4、递交投标文件</w:t>
            </w:r>
          </w:p>
          <w:p w14:paraId="2FBF676D">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4.1递交电子版投标文件</w:t>
            </w:r>
          </w:p>
          <w:p w14:paraId="16D4C5C0">
            <w:pPr>
              <w:keepLines w:val="0"/>
              <w:pageBreakBefore w:val="0"/>
              <w:overflowPunct w:val="0"/>
              <w:topLinePunct w:val="0"/>
              <w:bidi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登陆全国公共资源交易中心平台（陕西省）（http：//www.sxggzyjy.cn/）”，选择“电子交易平台-陕西政府采购交易系统-企业端”进行登陆，登陆后选择“交易乙方”身份进入，进入菜单“采购业务-我的项目-项目流程-上传响应文件”，上传加密的电子投标文件，上传成功后，电子化平台将予以记录。</w:t>
            </w:r>
          </w:p>
        </w:tc>
      </w:tr>
      <w:bookmarkEnd w:id="11"/>
    </w:tbl>
    <w:p w14:paraId="5CE91511">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p>
    <w:p w14:paraId="505903EE">
      <w:pPr>
        <w:keepLines w:val="0"/>
        <w:pageBreakBefore w:val="0"/>
        <w:overflowPunct w:val="0"/>
        <w:topLinePunct w:val="0"/>
        <w:autoSpaceDE w:val="0"/>
        <w:autoSpaceDN w:val="0"/>
        <w:bidi w:val="0"/>
        <w:adjustRightInd w:val="0"/>
        <w:spacing w:line="500" w:lineRule="exact"/>
        <w:ind w:right="6" w:rightChars="0"/>
        <w:jc w:val="center"/>
        <w:outlineLvl w:val="1"/>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r>
      <w:r>
        <w:rPr>
          <w:rFonts w:hint="eastAsia" w:ascii="宋体" w:hAnsi="宋体" w:eastAsia="宋体" w:cs="宋体"/>
          <w:b/>
          <w:bCs/>
          <w:color w:val="000000" w:themeColor="text1"/>
          <w:sz w:val="28"/>
          <w:szCs w:val="28"/>
          <w:highlight w:val="none"/>
          <w14:textFill>
            <w14:solidFill>
              <w14:schemeClr w14:val="tx1"/>
            </w14:solidFill>
          </w14:textFill>
        </w:rPr>
        <w:t>供应商须知</w:t>
      </w:r>
      <w:bookmarkEnd w:id="15"/>
    </w:p>
    <w:p w14:paraId="29F6112F">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一、总则</w:t>
      </w:r>
    </w:p>
    <w:p w14:paraId="1FBFB0FE">
      <w:pPr>
        <w:keepLines w:val="0"/>
        <w:pageBreakBefore w:val="0"/>
        <w:overflowPunct w:val="0"/>
        <w:topLinePunct w:val="0"/>
        <w:bidi w:val="0"/>
        <w:spacing w:before="240" w:after="120"/>
        <w:jc w:val="left"/>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1、适用范围</w:t>
      </w:r>
    </w:p>
    <w:p w14:paraId="68C51CE6">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  本竞争性谈判文件仅适用于本次竞争性谈判所叙述的货物（产品）项目采购活动。</w:t>
      </w:r>
    </w:p>
    <w:p w14:paraId="30FA689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1.2  本竞争性谈判文件的解释权归采购人。</w:t>
      </w:r>
    </w:p>
    <w:p w14:paraId="6E5C3582">
      <w:pPr>
        <w:keepLines w:val="0"/>
        <w:pageBreakBefore w:val="0"/>
        <w:overflowPunct w:val="0"/>
        <w:topLinePunct w:val="0"/>
        <w:bidi w:val="0"/>
        <w:spacing w:before="240" w:after="120"/>
        <w:jc w:val="left"/>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2、名词解释</w:t>
      </w:r>
    </w:p>
    <w:p w14:paraId="0D8A16B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2.1  “采购人”系指依法进行政府采购的国家机关、事业单位、团体组织。本次谈判的采购人</w:t>
      </w:r>
      <w:r>
        <w:rPr>
          <w:rFonts w:hint="eastAsia" w:ascii="宋体" w:hAnsi="宋体" w:eastAsia="宋体" w:cs="宋体"/>
          <w:color w:val="000000" w:themeColor="text1"/>
          <w:highlight w:val="none"/>
          <w14:textFill>
            <w14:solidFill>
              <w14:schemeClr w14:val="tx1"/>
            </w14:solidFill>
          </w14:textFill>
        </w:rPr>
        <w:t>是</w:t>
      </w:r>
      <w:r>
        <w:rPr>
          <w:rFonts w:hint="eastAsia" w:ascii="宋体" w:hAnsi="宋体" w:cs="宋体"/>
          <w:color w:val="000000" w:themeColor="text1"/>
          <w:highlight w:val="none"/>
          <w:lang w:eastAsia="zh-CN"/>
          <w14:textFill>
            <w14:solidFill>
              <w14:schemeClr w14:val="tx1"/>
            </w14:solidFill>
          </w14:textFill>
        </w:rPr>
        <w:t>安康市妇幼保健院</w:t>
      </w:r>
      <w:r>
        <w:rPr>
          <w:rFonts w:hint="eastAsia" w:ascii="宋体" w:hAnsi="宋体" w:eastAsia="宋体" w:cs="宋体"/>
          <w:color w:val="000000" w:themeColor="text1"/>
          <w:highlight w:val="none"/>
          <w14:textFill>
            <w14:solidFill>
              <w14:schemeClr w14:val="tx1"/>
            </w14:solidFill>
          </w14:textFill>
        </w:rPr>
        <w:t>。</w:t>
      </w:r>
    </w:p>
    <w:p w14:paraId="6C09754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2.2  “采购代理机构”系指根据采购人的委托依法办理谈判事宜的代理机构。本次谈判的采购代理机构是</w:t>
      </w:r>
      <w:r>
        <w:rPr>
          <w:rFonts w:hint="eastAsia" w:ascii="宋体" w:hAnsi="宋体" w:eastAsia="宋体" w:cs="宋体"/>
          <w:color w:val="000000" w:themeColor="text1"/>
          <w:highlight w:val="none"/>
          <w:lang w:eastAsia="zh-CN"/>
          <w14:textFill>
            <w14:solidFill>
              <w14:schemeClr w14:val="tx1"/>
            </w14:solidFill>
          </w14:textFill>
        </w:rPr>
        <w:t>安康华昊智远项目管理有限公司</w:t>
      </w:r>
      <w:r>
        <w:rPr>
          <w:rFonts w:hint="eastAsia" w:ascii="宋体" w:hAnsi="宋体" w:eastAsia="宋体" w:cs="宋体"/>
          <w:color w:val="000000" w:themeColor="text1"/>
          <w:highlight w:val="none"/>
          <w14:textFill>
            <w14:solidFill>
              <w14:schemeClr w14:val="tx1"/>
            </w14:solidFill>
          </w14:textFill>
        </w:rPr>
        <w:t>。</w:t>
      </w:r>
    </w:p>
    <w:p w14:paraId="599F2E7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2.3  “供应商”系指</w:t>
      </w:r>
      <w:r>
        <w:rPr>
          <w:rFonts w:hint="eastAsia" w:ascii="宋体" w:hAnsi="宋体" w:eastAsia="宋体" w:cs="宋体"/>
          <w:color w:val="000000" w:themeColor="text1"/>
          <w:highlight w:val="none"/>
          <w:lang w:eastAsia="zh-CN"/>
          <w14:textFill>
            <w14:solidFill>
              <w14:schemeClr w14:val="tx1"/>
            </w14:solidFill>
          </w14:textFill>
        </w:rPr>
        <w:t>获取</w:t>
      </w:r>
      <w:r>
        <w:rPr>
          <w:rFonts w:hint="eastAsia" w:ascii="宋体" w:hAnsi="宋体" w:eastAsia="宋体" w:cs="宋体"/>
          <w:color w:val="000000" w:themeColor="text1"/>
          <w:highlight w:val="none"/>
          <w14:textFill>
            <w14:solidFill>
              <w14:schemeClr w14:val="tx1"/>
            </w14:solidFill>
          </w14:textFill>
        </w:rPr>
        <w:t>了竞争性谈判文件拟参加谈判和向采购人提供货物及相应服务的供应商。</w:t>
      </w:r>
    </w:p>
    <w:p w14:paraId="6603FE3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2.4  “工程”系指供应商为完成本项目所做的基础建设、</w:t>
      </w:r>
      <w:r>
        <w:rPr>
          <w:rFonts w:hint="eastAsia" w:ascii="宋体" w:hAnsi="宋体" w:eastAsia="宋体" w:cs="宋体"/>
          <w:color w:val="000000" w:themeColor="text1"/>
          <w:highlight w:val="none"/>
          <w14:textFill>
            <w14:solidFill>
              <w14:schemeClr w14:val="tx1"/>
            </w14:solidFill>
          </w14:textFill>
        </w:rPr>
        <w:t>辅助工程</w:t>
      </w:r>
      <w:r>
        <w:rPr>
          <w:rFonts w:hint="eastAsia" w:ascii="宋体" w:hAnsi="宋体" w:eastAsia="宋体" w:cs="宋体"/>
          <w:color w:val="000000" w:themeColor="text1"/>
          <w:highlight w:val="none"/>
          <w14:textFill>
            <w14:solidFill>
              <w14:schemeClr w14:val="tx1"/>
            </w14:solidFill>
          </w14:textFill>
        </w:rPr>
        <w:t>等建设工程，包括建筑物和构筑物的新建、改建、扩建、装修、拆除、修缮等。</w:t>
      </w:r>
    </w:p>
    <w:p w14:paraId="1ED9217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2.5  “货物”系指供应商按竞争性谈判文件规定，须向采购人提供的满足竞争性谈判文件要求的产品、设备、机械、仪器仪表、包装、备品配件、工具、使用说明以及所有有关的文件和材料。</w:t>
      </w:r>
    </w:p>
    <w:p w14:paraId="71A4FEE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2.6  “服务”系指竞争性谈判文件规定供应商须承担的产品设计及生产、有关运输、保险、技术支持以及其他使货物正常运转所必需的义务。</w:t>
      </w:r>
    </w:p>
    <w:p w14:paraId="38A668FC">
      <w:pPr>
        <w:keepLines w:val="0"/>
        <w:pageBreakBefore w:val="0"/>
        <w:overflowPunct w:val="0"/>
        <w:topLinePunct w:val="0"/>
        <w:bidi w:val="0"/>
        <w:spacing w:before="240" w:after="120"/>
        <w:jc w:val="left"/>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3、合格的供应商</w:t>
      </w:r>
    </w:p>
    <w:p w14:paraId="14331DD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3.1  合格的供应商应具备以下条件：</w:t>
      </w:r>
    </w:p>
    <w:p w14:paraId="4F01E90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（1）具备且</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满足《中华人民共和国政府采购法》第二十二条规定</w:t>
      </w:r>
      <w:r>
        <w:rPr>
          <w:rFonts w:hint="eastAsia" w:ascii="宋体" w:hAnsi="宋体" w:cs="宋体"/>
          <w:i w:val="0"/>
          <w:iCs w:val="0"/>
          <w:caps w:val="0"/>
          <w:color w:val="000000" w:themeColor="text1"/>
          <w:spacing w:val="0"/>
          <w:sz w:val="24"/>
          <w:szCs w:val="24"/>
          <w:highlight w:val="none"/>
          <w:shd w:val="clear" w:fill="FFFFFF"/>
          <w:lang w:val="en-US" w:eastAsia="zh-CN"/>
          <w14:textFill>
            <w14:solidFill>
              <w14:schemeClr w14:val="tx1"/>
            </w14:solidFill>
          </w14:textFill>
        </w:rPr>
        <w:t>及特定资格要求</w:t>
      </w:r>
      <w:r>
        <w:rPr>
          <w:rFonts w:hint="eastAsia" w:ascii="宋体" w:hAnsi="宋体" w:eastAsia="宋体" w:cs="宋体"/>
          <w:color w:val="000000" w:themeColor="text1"/>
          <w:highlight w:val="none"/>
          <w14:textFill>
            <w14:solidFill>
              <w14:schemeClr w14:val="tx1"/>
            </w14:solidFill>
          </w14:textFill>
        </w:rPr>
        <w:t>；</w:t>
      </w:r>
    </w:p>
    <w:p w14:paraId="6A12CB3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（2）向采购代理机构</w:t>
      </w:r>
      <w:r>
        <w:rPr>
          <w:rFonts w:hint="eastAsia" w:ascii="宋体" w:hAnsi="宋体" w:eastAsia="宋体" w:cs="宋体"/>
          <w:color w:val="000000" w:themeColor="text1"/>
          <w:highlight w:val="none"/>
          <w:lang w:eastAsia="zh-CN"/>
          <w14:textFill>
            <w14:solidFill>
              <w14:schemeClr w14:val="tx1"/>
            </w14:solidFill>
          </w14:textFill>
        </w:rPr>
        <w:t>获取</w:t>
      </w:r>
      <w:r>
        <w:rPr>
          <w:rFonts w:hint="eastAsia" w:ascii="宋体" w:hAnsi="宋体" w:eastAsia="宋体" w:cs="宋体"/>
          <w:color w:val="000000" w:themeColor="text1"/>
          <w:highlight w:val="none"/>
          <w14:textFill>
            <w14:solidFill>
              <w14:schemeClr w14:val="tx1"/>
            </w14:solidFill>
          </w14:textFill>
        </w:rPr>
        <w:t>了竞争性谈判文件并登记备案；</w:t>
      </w:r>
    </w:p>
    <w:p w14:paraId="09B0E25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）一个供应商只能提交一个谈判响应文件，法定代表人为同一人的两个及两个以上法人，不得同时参加本项目谈判；</w:t>
      </w:r>
    </w:p>
    <w:p w14:paraId="5C99553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）有隶属关系的两个公司或有控股关系的两个公司不能同时参加同一项目的谈判；</w:t>
      </w:r>
    </w:p>
    <w:p w14:paraId="399B2490">
      <w:pPr>
        <w:keepLines w:val="0"/>
        <w:pageBreakBefore w:val="0"/>
        <w:tabs>
          <w:tab w:val="left" w:pos="7665"/>
        </w:tabs>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）参加政府采购活动前三年内，在经营活动中没有重大违法纪录；</w:t>
      </w:r>
    </w:p>
    <w:p w14:paraId="630B804B">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）中华人民共和国法律、行政法规规定的其他条件（见供应商须知前附表）；</w:t>
      </w:r>
    </w:p>
    <w:p w14:paraId="501F729F">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竞争性谈判文件和法律、行政法规规定的其他条件</w:t>
      </w:r>
      <w:r>
        <w:rPr>
          <w:rFonts w:hint="eastAsia" w:ascii="宋体" w:hAnsi="宋体" w:eastAsia="宋体" w:cs="宋体"/>
          <w:color w:val="000000" w:themeColor="text1"/>
          <w:highlight w:val="none"/>
          <w14:textFill>
            <w14:solidFill>
              <w14:schemeClr w14:val="tx1"/>
            </w14:solidFill>
          </w14:textFill>
        </w:rPr>
        <w:t>。</w:t>
      </w:r>
    </w:p>
    <w:p w14:paraId="5EDE7A00">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3.2  供应商不得直接或间接地与采购单位有任何关联，亦不得是采购单位的附属机构。如果供应商在谈判中隐瞒了上述关系，则该谈判响应文件按照无效处理。</w:t>
      </w:r>
    </w:p>
    <w:p w14:paraId="7401AA81">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  单位负责人为同一人或者存在直接控股、管理关系的不同供应商，不得参加本项目同一合同项下的谈判。如果供应商在谈判中隐瞒了上述关系，则该谈判响应文件按照无效处理。</w:t>
      </w:r>
    </w:p>
    <w:p w14:paraId="7B9F39E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3.4  为本采购项目提供整体设计、规范编制或者项目管理、监理、检测等服务的供应商，不得再参加本采购项目的谈判。如果供应商在谈判中隐瞒了上述事实，则该谈判响应文件按照无效处理。</w:t>
      </w:r>
    </w:p>
    <w:p w14:paraId="1FFFC4A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3.5  如果在竞争性谈判文件中接受联合体谈判（见供应商须知前附表），则两个以上供应商可以组成一个谈判联合体，以一个供应商的身份谈判。以联合体形式参加谈判的，联合体各方均应当符合政府采购法第二十二条第一款规定的条件。采购人根据采购项目的特殊要求规定供应商特定条件的，联合体各方中至少应当有一方符合采购人规定的特定条件。联合体中有同类资质的供应商按照联合体分工承担相同工作的，按照资质等级较低的供应商确定资质等级。</w:t>
      </w:r>
    </w:p>
    <w:p w14:paraId="0089D479">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合体各方之间应当签订共同谈判协议，明确约定联合体各方承担的工作和相应的责任，并将共同谈判协议附在谈判响应文件中一并提交。联合体各方签订共同谈判协议后，不得再以自己名义单独在同一项目中谈判，也不得组成新的联合体参加同一项目谈判，否则，其相关谈判均为无效。</w:t>
      </w:r>
    </w:p>
    <w:p w14:paraId="3FDD1EF0">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3.6 </w:t>
      </w:r>
      <w:r>
        <w:rPr>
          <w:rFonts w:hint="eastAsia" w:ascii="宋体" w:hAnsi="宋体" w:eastAsia="宋体" w:cs="宋体"/>
          <w:color w:val="000000" w:themeColor="text1"/>
          <w:highlight w:val="none"/>
          <w:lang w:val="en-US" w:eastAsia="zh-CN"/>
          <w14:textFill>
            <w14:solidFill>
              <w14:schemeClr w14:val="tx1"/>
            </w14:solidFill>
          </w14:textFill>
        </w:rPr>
        <w:t>“信用中国”（www.creditchina.gov.cn）及“中国政府采购网”（www.ccgp.gov.cn）为供应商信用信息查询渠道，如果供应商被查实在谈判截止日前已列入失信被执行人，税收违法黑名单、政府采购严重违法失信行为记录名单，</w:t>
      </w:r>
      <w:r>
        <w:rPr>
          <w:rFonts w:hint="eastAsia" w:ascii="宋体" w:hAnsi="宋体" w:eastAsia="宋体" w:cs="宋体"/>
          <w:b/>
          <w:bCs/>
          <w:color w:val="000000" w:themeColor="text1"/>
          <w:highlight w:val="none"/>
          <w:lang w:val="en-US" w:eastAsia="zh-CN"/>
          <w14:textFill>
            <w14:solidFill>
              <w14:schemeClr w14:val="tx1"/>
            </w14:solidFill>
          </w14:textFill>
        </w:rPr>
        <w:t>其谈判为无效。</w:t>
      </w:r>
    </w:p>
    <w:p w14:paraId="53BDE088">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4、谈判供给货物及服务的合格性和合法性</w:t>
      </w:r>
    </w:p>
    <w:p w14:paraId="1C8DFBD6">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4.1  谈判供给货物及服务应满足谈判文件的要求，并应符合国家法律法规、行业管理部门所要求的其他强制性标准。</w:t>
      </w:r>
    </w:p>
    <w:p w14:paraId="3E385775">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4.2 合同中提供的货物及其有关服务的原产地，均应来自国家有关政府采购规定的工程、货物和服务的合法来源国，本合同的支付也仅限于这些货物和服务；</w:t>
      </w:r>
    </w:p>
    <w:p w14:paraId="3A3E2899">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4.3 本款所述的“原产地”是指货物设计、生产和提供有关服务的来源地。所述的“货物”是指制造、加工或实质上装配了主要部件而形成的货物，商业上公认的产品是指在基本特征、性能或功能上与部件有着实质性区别的产品；</w:t>
      </w:r>
    </w:p>
    <w:p w14:paraId="5C2FD69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4.4  通过签署谈判响应文件，供应商应确认其为所供货物和服务的知识产权的合法所有人，或已经从其所有人那里得到了适当的授权。在此方面恶意地提供错误事实，将导致谈判被拒绝。</w:t>
      </w:r>
    </w:p>
    <w:p w14:paraId="74C12299">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5、谈判响应文件内容的真实性</w:t>
      </w:r>
    </w:p>
    <w:p w14:paraId="73A61BFF">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供应商应保证其谈判响应文件中所提供的所有有关谈判的资料、信息是真实的，并且来源于合法的渠道。因谈判响应文件中所提供的有关谈判的资料、信息不真实，或者其来源不合法而导致的所有法律责任，由供应商自行承担。</w:t>
      </w:r>
    </w:p>
    <w:p w14:paraId="2C30D205">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6、谈判过程的监督和管理</w:t>
      </w:r>
    </w:p>
    <w:p w14:paraId="3630735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同级人民政府财政部门及有关部门依法履行对谈判过程的监督管理职责。</w:t>
      </w:r>
    </w:p>
    <w:p w14:paraId="25B9CEDE">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7、费用</w:t>
      </w:r>
    </w:p>
    <w:p w14:paraId="1D70F19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7.1  供应商应承担所有与编写和提交谈判响应文件有关的费用，无论谈判过程中的做法和结果如何，采购人和采购代理机构在任何情况下均无义务和责任承担这些费用。</w:t>
      </w:r>
    </w:p>
    <w:p w14:paraId="2A94793A">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二、竞争性谈判文件</w:t>
      </w:r>
    </w:p>
    <w:p w14:paraId="3C15B223">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8、竞争性谈判文件的构成</w:t>
      </w:r>
    </w:p>
    <w:p w14:paraId="4D78D996">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8.1  竞争性谈判文件是供应商准备谈判响应文件和参加谈判会议的依据，同时也是评审的重要依据。竞争性谈判文件用以阐明采购项目所需的资质、技术、服务及报价等要求、谈判程序、评审办法与标准、有关规定和注意事项以及合同主要条款等。本竞争性谈判文件包括以下内容：</w:t>
      </w:r>
    </w:p>
    <w:p w14:paraId="1A16E636">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（1）竞争性谈判公告；  </w:t>
      </w:r>
    </w:p>
    <w:p w14:paraId="7526690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（2）供应商须知；</w:t>
      </w:r>
    </w:p>
    <w:p w14:paraId="45DB67D8">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（3）评审办法；</w:t>
      </w:r>
    </w:p>
    <w:p w14:paraId="216CDC3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（4）采购内容及技术要求；</w:t>
      </w:r>
    </w:p>
    <w:p w14:paraId="160F3AE8">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（5）合同条款；</w:t>
      </w:r>
    </w:p>
    <w:p w14:paraId="551FA8F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（6）谈判响应文件格式。</w:t>
      </w:r>
    </w:p>
    <w:p w14:paraId="4130CDC8">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8.2  供应商应认真阅读和充分理解竞争性谈判文件中所有的事项、格式条款和规范要求。如果供应商没有按照竞争性谈判文件要求提交全部资料，或者谈判响应文件没有对竞争性谈判文件在各方面都做出实质性响应，由此带来的不利于供应商的评审结果，其风险由供应商承担。</w:t>
      </w:r>
    </w:p>
    <w:p w14:paraId="376163BC">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8.3  本竞争性谈判文件的解释权归</w:t>
      </w:r>
      <w:r>
        <w:rPr>
          <w:rFonts w:hint="eastAsia" w:ascii="宋体" w:hAnsi="宋体" w:eastAsia="宋体" w:cs="宋体"/>
          <w:color w:val="000000" w:themeColor="text1"/>
          <w:highlight w:val="none"/>
          <w:lang w:eastAsia="zh-CN"/>
          <w14:textFill>
            <w14:solidFill>
              <w14:schemeClr w14:val="tx1"/>
            </w14:solidFill>
          </w14:textFill>
        </w:rPr>
        <w:t>安康华昊智远项目管理有限公司</w:t>
      </w:r>
      <w:r>
        <w:rPr>
          <w:rFonts w:hint="eastAsia" w:ascii="宋体" w:hAnsi="宋体" w:eastAsia="宋体" w:cs="宋体"/>
          <w:color w:val="000000" w:themeColor="text1"/>
          <w:highlight w:val="none"/>
          <w14:textFill>
            <w14:solidFill>
              <w14:schemeClr w14:val="tx1"/>
            </w14:solidFill>
          </w14:textFill>
        </w:rPr>
        <w:t>。</w:t>
      </w:r>
    </w:p>
    <w:p w14:paraId="0D70B454">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9、竞争性谈判文件的澄清和修改</w:t>
      </w:r>
    </w:p>
    <w:p w14:paraId="51773D70">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9.1  在谈判截止时间前，采购人或者采购代理机构无论出于何种原因，可以对竞争性谈判文件进行澄清或者修改。</w:t>
      </w:r>
    </w:p>
    <w:p w14:paraId="4711E7CA">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9.2  采购人或者采购代理机构如果对已发出的竞争性谈判文件进行澄清或者修改，将在竞争性谈判文件要求提交首次谈判响应文件截止时间3个工作日前，以书面形式将澄清或者修改的内容通知所有</w:t>
      </w:r>
      <w:r>
        <w:rPr>
          <w:rFonts w:hint="eastAsia" w:ascii="宋体" w:hAnsi="宋体" w:eastAsia="宋体" w:cs="宋体"/>
          <w:color w:val="000000" w:themeColor="text1"/>
          <w:highlight w:val="none"/>
          <w:lang w:eastAsia="zh-CN"/>
          <w14:textFill>
            <w14:solidFill>
              <w14:schemeClr w14:val="tx1"/>
            </w14:solidFill>
          </w14:textFill>
        </w:rPr>
        <w:t>获取</w:t>
      </w:r>
      <w:r>
        <w:rPr>
          <w:rFonts w:hint="eastAsia" w:ascii="宋体" w:hAnsi="宋体" w:eastAsia="宋体" w:cs="宋体"/>
          <w:color w:val="000000" w:themeColor="text1"/>
          <w:highlight w:val="none"/>
          <w14:textFill>
            <w14:solidFill>
              <w14:schemeClr w14:val="tx1"/>
            </w14:solidFill>
          </w14:textFill>
        </w:rPr>
        <w:t>了竞争性谈判文件的供应商，不足3个工作日的，将顺延提交首次谈判响应文件截止时间，同时在原信息发布媒体上发布更正公告。该澄清或者修改的内容为竞争性谈判文件的组成部分。供应商在收到上述通知后，应立即以书面形式（传真或邮件）向采购代理机构确认。</w:t>
      </w:r>
    </w:p>
    <w:p w14:paraId="718F4CAE">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9.3  竞争性谈判文件的澄清或修改内容均以书面形式明确的内容为准。当竞争性谈判文件的澄清、修改、补充等在同一内容的表述上不一致时，以最后发出的书面文件为准。所有补充文件将作为竞争性谈判文件的组成部分，对所有供应商具有约束力。</w:t>
      </w:r>
    </w:p>
    <w:p w14:paraId="2BD5A337">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9.4谈判响应截止时间和谈判时间的延长：在谈判响应截止时间3日前，采购代理机构可以视采购具体情况，延长谈判截止时间和谈判时间。延长谈判截止时间和谈判时间将在财政部门指定的媒体上发布变更公告，同时将变更时间书面通知所有</w:t>
      </w:r>
      <w:r>
        <w:rPr>
          <w:rFonts w:hint="eastAsia" w:ascii="宋体" w:hAnsi="宋体" w:eastAsia="宋体" w:cs="宋体"/>
          <w:color w:val="000000" w:themeColor="text1"/>
          <w:highlight w:val="none"/>
          <w:lang w:eastAsia="zh-CN"/>
          <w14:textFill>
            <w14:solidFill>
              <w14:schemeClr w14:val="tx1"/>
            </w14:solidFill>
          </w14:textFill>
        </w:rPr>
        <w:t>获取</w:t>
      </w:r>
      <w:r>
        <w:rPr>
          <w:rFonts w:hint="eastAsia" w:ascii="宋体" w:hAnsi="宋体" w:eastAsia="宋体" w:cs="宋体"/>
          <w:color w:val="000000" w:themeColor="text1"/>
          <w:highlight w:val="none"/>
          <w14:textFill>
            <w14:solidFill>
              <w14:schemeClr w14:val="tx1"/>
            </w14:solidFill>
          </w14:textFill>
        </w:rPr>
        <w:t>竞争性谈判文件的供应商。</w:t>
      </w:r>
    </w:p>
    <w:p w14:paraId="131CBF55">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10、答疑会和现场考察（</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本项目不组织</w:t>
      </w:r>
      <w:r>
        <w:rPr>
          <w:rFonts w:hint="eastAsia" w:ascii="宋体" w:hAnsi="宋体" w:eastAsia="宋体" w:cs="宋体"/>
          <w:b/>
          <w:bCs/>
          <w:color w:val="000000" w:themeColor="text1"/>
          <w:kern w:val="0"/>
          <w:sz w:val="24"/>
          <w:highlight w:val="none"/>
          <w14:textFill>
            <w14:solidFill>
              <w14:schemeClr w14:val="tx1"/>
            </w14:solidFill>
          </w14:textFill>
        </w:rPr>
        <w:t>）</w:t>
      </w:r>
    </w:p>
    <w:p w14:paraId="45C8325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10.1  根据采购项目和具体情况，采购代理机构认为有必要，可以组织召谈判前答疑会，或谈判单位可根据自身情况及需要，自行组织踏勘。答疑会或进行现场踏勘的时间，采购人将以书面形式通知所有</w:t>
      </w:r>
      <w:r>
        <w:rPr>
          <w:rFonts w:hint="eastAsia" w:ascii="宋体" w:hAnsi="宋体" w:eastAsia="宋体" w:cs="宋体"/>
          <w:color w:val="000000" w:themeColor="text1"/>
          <w:highlight w:val="none"/>
          <w:lang w:eastAsia="zh-CN"/>
          <w14:textFill>
            <w14:solidFill>
              <w14:schemeClr w14:val="tx1"/>
            </w14:solidFill>
          </w14:textFill>
        </w:rPr>
        <w:t>获取</w:t>
      </w:r>
      <w:r>
        <w:rPr>
          <w:rFonts w:hint="eastAsia" w:ascii="宋体" w:hAnsi="宋体" w:eastAsia="宋体" w:cs="宋体"/>
          <w:color w:val="000000" w:themeColor="text1"/>
          <w:highlight w:val="none"/>
          <w14:textFill>
            <w14:solidFill>
              <w14:schemeClr w14:val="tx1"/>
            </w14:solidFill>
          </w14:textFill>
        </w:rPr>
        <w:t>了竞争性谈判文件的供应商。</w:t>
      </w:r>
    </w:p>
    <w:p w14:paraId="5CF6810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10.2  供应商踏勘现场所发生的一切费用由供应商自己承担。</w:t>
      </w:r>
    </w:p>
    <w:p w14:paraId="0BC7745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10.3  采购人向供应商提供的有关现场的数据和资料，是采购人现有的能被供应商利用的资料，采购人对供应商做出的任何推论、理解和结论均不负责任。一旦成交，成交人不得以任何借口，提出额外补偿，或延长合同期限的要求。</w:t>
      </w:r>
    </w:p>
    <w:p w14:paraId="1939E861">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三、竞争性谈判响应文件</w:t>
      </w:r>
    </w:p>
    <w:p w14:paraId="17FEFB0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11、谈判响应文件编制的原则</w:t>
      </w:r>
    </w:p>
    <w:p w14:paraId="70377E20">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11.1  供应商应在认真阅读竞争性谈判文件所有内容的基础上，按照竞争性谈判文件的要求编制完整的谈判响应文</w:t>
      </w:r>
      <w:r>
        <w:rPr>
          <w:rFonts w:hint="eastAsia" w:ascii="宋体" w:hAnsi="宋体" w:eastAsia="宋体" w:cs="宋体"/>
          <w:color w:val="000000" w:themeColor="text1"/>
          <w:highlight w:val="none"/>
          <w14:textFill>
            <w14:solidFill>
              <w14:schemeClr w14:val="tx1"/>
            </w14:solidFill>
          </w14:textFill>
        </w:rPr>
        <w:t>件。</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文件中除对响应文件格式有要求的，其余内容均按</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文件要求填写，不准留有空项；无相应内容可填的项应填写“无”、“没有相应指标”等明确的回答文字。响应文件中未按</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文件要求留有空项的，将被视为不完整响应的</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文件，其</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响应文件将有可能被拒绝。</w:t>
      </w:r>
    </w:p>
    <w:p w14:paraId="47B8B061">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11.2  供应商必须保证谈判响应文件所提供的全部资料真实可靠，并接受对其中任何资料进一步审查的要求。供应商在政府采购过程中提供不真实的材料，无论其材料是否重要，采购人均有权拒绝，并取消其谈判资格，供应商需承担相应的后果及法律责任。</w:t>
      </w:r>
    </w:p>
    <w:p w14:paraId="13B44C56">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11.3  谈判响应文件须对竞争性谈判文件中的内容做出实质性和完整的响应，否则其谈判将被拒绝。</w:t>
      </w:r>
    </w:p>
    <w:p w14:paraId="50105CA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12、谈判响应文件的语言</w:t>
      </w:r>
    </w:p>
    <w:p w14:paraId="50BF81E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12.1  供应商提交的谈判响应文件和往来信件均须使用中文书写。谈判响应文件中如附有外文资料，必须逐一对应翻译成中文并加盖供应商公章后附在相关外文资料后面，否则，供应商的谈判响应文件将作为无效谈判响应文件处理。</w:t>
      </w:r>
    </w:p>
    <w:p w14:paraId="716210C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12.2  翻译的中文资料与外文资料如果出现差异和矛盾时，以中文为准。但不能故意错误翻译，否则，供应商的谈判响应文件将作为无效文件处理。必要时采购人可以要求供应商提供附有公证书的中文翻译文件或者与原版文件签章相一致的中文翻译文件。</w:t>
      </w:r>
    </w:p>
    <w:p w14:paraId="3BAC48E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13、计量单位</w:t>
      </w:r>
    </w:p>
    <w:p w14:paraId="7DF6C1A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除技术规格及要求中另有规定外，本次采购项目下的谈判均采用国家法定的计量单位。</w:t>
      </w:r>
    </w:p>
    <w:p w14:paraId="3610DF7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14、谈判货币</w:t>
      </w:r>
    </w:p>
    <w:p w14:paraId="1DC22B6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本次采购项目的谈判均以人民币报价，单位：元。  </w:t>
      </w:r>
    </w:p>
    <w:p w14:paraId="4169A1E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15、知识产权</w:t>
      </w:r>
    </w:p>
    <w:p w14:paraId="2CAD261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15.1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051F0A3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15.2  采购人享有本项目实施过程中产生的知识成果及知识产权。</w:t>
      </w:r>
    </w:p>
    <w:p w14:paraId="467D068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15.3  供应商如欲在项目实施过程中采用自有知识成果，需在谈判响应文件中声明，并提供相关知识产权证明文件。</w:t>
      </w:r>
    </w:p>
    <w:p w14:paraId="2E52535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
          <w:bCs/>
          <w:color w:val="000000" w:themeColor="text1"/>
          <w:kern w:val="0"/>
          <w:sz w:val="24"/>
          <w:highlight w:val="none"/>
          <w14:textFill>
            <w14:solidFill>
              <w14:schemeClr w14:val="tx1"/>
            </w14:solidFill>
          </w14:textFill>
        </w:rPr>
        <w:t>16、谈判响应文件的组成</w:t>
      </w:r>
    </w:p>
    <w:p w14:paraId="7051DD72">
      <w:pPr>
        <w:keepLines w:val="0"/>
        <w:pageBreakBefore w:val="0"/>
        <w:overflowPunct w:val="0"/>
        <w:topLinePunct w:val="0"/>
        <w:bidi w:val="0"/>
        <w:spacing w:line="720" w:lineRule="exact"/>
        <w:ind w:firstLine="42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16.1</w:t>
      </w:r>
      <w:r>
        <w:rPr>
          <w:rFonts w:hint="eastAsia" w:ascii="宋体" w:hAnsi="宋体" w:eastAsia="宋体" w:cs="宋体"/>
          <w:color w:val="000000" w:themeColor="text1"/>
          <w:highlight w:val="none"/>
          <w14:textFill>
            <w14:solidFill>
              <w14:schemeClr w14:val="tx1"/>
            </w14:solidFill>
          </w14:textFill>
        </w:rPr>
        <w:t>所有采购货物只允许供应商有一个谈判方案，不接受任何有选择的方案和报价（包括有条件的折扣）。供应商未按要求，提供了选择方案报价的，其谈判将被拒绝。供应商编写的谈判响应文件应包括下列内容：</w:t>
      </w: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p>
    <w:p w14:paraId="516CD755">
      <w:pPr>
        <w:keepLines w:val="0"/>
        <w:pageBreakBefore w:val="0"/>
        <w:overflowPunct w:val="0"/>
        <w:topLinePunct w:val="0"/>
        <w:bidi w:val="0"/>
        <w:spacing w:line="72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一、谈判响应函</w:t>
      </w:r>
    </w:p>
    <w:p w14:paraId="5A384B8C">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二、竞争性谈判报价一览表</w:t>
      </w:r>
    </w:p>
    <w:p w14:paraId="4D051FCF">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三</w:t>
      </w:r>
      <w:r>
        <w:rPr>
          <w:rFonts w:hint="eastAsia" w:ascii="宋体" w:hAnsi="宋体" w:eastAsia="宋体" w:cs="宋体"/>
          <w:color w:val="000000" w:themeColor="text1"/>
          <w:szCs w:val="21"/>
          <w:highlight w:val="none"/>
          <w14:textFill>
            <w14:solidFill>
              <w14:schemeClr w14:val="tx1"/>
            </w14:solidFill>
          </w14:textFill>
        </w:rPr>
        <w:t>、资格文件</w:t>
      </w:r>
    </w:p>
    <w:p w14:paraId="3EBB36A7">
      <w:pPr>
        <w:keepLines w:val="0"/>
        <w:pageBreakBefore w:val="0"/>
        <w:tabs>
          <w:tab w:val="left" w:pos="220"/>
        </w:tabs>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四</w:t>
      </w:r>
      <w:r>
        <w:rPr>
          <w:rFonts w:hint="eastAsia" w:ascii="宋体" w:hAnsi="宋体" w:eastAsia="宋体" w:cs="宋体"/>
          <w:color w:val="000000" w:themeColor="text1"/>
          <w:szCs w:val="21"/>
          <w:highlight w:val="none"/>
          <w14:textFill>
            <w14:solidFill>
              <w14:schemeClr w14:val="tx1"/>
            </w14:solidFill>
          </w14:textFill>
        </w:rPr>
        <w:t>、谈判报价方案说明书</w:t>
      </w:r>
    </w:p>
    <w:p w14:paraId="3B2A77C9">
      <w:pPr>
        <w:keepLines w:val="0"/>
        <w:pageBreakBefore w:val="0"/>
        <w:tabs>
          <w:tab w:val="left" w:pos="630"/>
        </w:tabs>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五</w:t>
      </w:r>
      <w:r>
        <w:rPr>
          <w:rFonts w:hint="eastAsia" w:ascii="宋体" w:hAnsi="宋体" w:eastAsia="宋体" w:cs="宋体"/>
          <w:color w:val="000000" w:themeColor="text1"/>
          <w:szCs w:val="21"/>
          <w:highlight w:val="none"/>
          <w14:textFill>
            <w14:solidFill>
              <w14:schemeClr w14:val="tx1"/>
            </w14:solidFill>
          </w14:textFill>
        </w:rPr>
        <w:t>、供应商认为有必要补充说明的事宜</w:t>
      </w:r>
    </w:p>
    <w:p w14:paraId="1ECD49A3">
      <w:pPr>
        <w:keepLines w:val="0"/>
        <w:pageBreakBefore w:val="0"/>
        <w:tabs>
          <w:tab w:val="left" w:pos="630"/>
        </w:tabs>
        <w:overflowPunct w:val="0"/>
        <w:topLinePunct w:val="0"/>
        <w:bidi w:val="0"/>
        <w:spacing w:line="72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六</w:t>
      </w:r>
      <w:r>
        <w:rPr>
          <w:rFonts w:hint="eastAsia" w:ascii="宋体" w:hAnsi="宋体" w:eastAsia="宋体" w:cs="宋体"/>
          <w:color w:val="000000" w:themeColor="text1"/>
          <w:szCs w:val="21"/>
          <w:highlight w:val="none"/>
          <w14:textFill>
            <w14:solidFill>
              <w14:schemeClr w14:val="tx1"/>
            </w14:solidFill>
          </w14:textFill>
        </w:rPr>
        <w:t>、《拒绝政府采购领域商业贿赂承诺书》</w:t>
      </w:r>
    </w:p>
    <w:p w14:paraId="4558BD6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16.</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 谈判响应文件填写说明</w:t>
      </w:r>
    </w:p>
    <w:p w14:paraId="2427178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（1）谈判响应文件格式：供应商提交的谈判响应文件应当使用竞争性谈判文件规定的全部格式（表格可以按同样格式扩展）编写。</w:t>
      </w:r>
    </w:p>
    <w:p w14:paraId="01B557A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供应商应按竞争性谈判文件中提供的谈判响应文件格式填写“谈判响应函”、“竞争性谈判报价一览表”、“分项报价表”以及其他相关文件，注明提供的货物名称、规格型号、单位、数量、价格、技术参数等。</w:t>
      </w:r>
    </w:p>
    <w:p w14:paraId="0CD71B66">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17、谈判报价</w:t>
      </w:r>
    </w:p>
    <w:p w14:paraId="38E67929">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17.1  供应商应按照“供应商须知前附表”中的规定和要求报价，</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报价超过谈判文件中规定的预算金额或者最高限价的</w:t>
      </w:r>
      <w:r>
        <w:rPr>
          <w:rFonts w:hint="eastAsia" w:ascii="宋体" w:hAnsi="宋体" w:eastAsia="宋体" w:cs="宋体"/>
          <w:b/>
          <w:bCs/>
          <w:color w:val="000000" w:themeColor="text1"/>
          <w:highlight w:val="none"/>
          <w14:textFill>
            <w14:solidFill>
              <w14:schemeClr w14:val="tx1"/>
            </w14:solidFill>
          </w14:textFill>
        </w:rPr>
        <w:t>将</w:t>
      </w:r>
      <w:r>
        <w:rPr>
          <w:rFonts w:hint="eastAsia" w:ascii="宋体" w:hAnsi="宋体" w:eastAsia="宋体" w:cs="宋体"/>
          <w:b/>
          <w:bCs/>
          <w:color w:val="000000" w:themeColor="text1"/>
          <w:highlight w:val="none"/>
          <w14:textFill>
            <w14:solidFill>
              <w14:schemeClr w14:val="tx1"/>
            </w14:solidFill>
          </w14:textFill>
        </w:rPr>
        <w:t>按照无效谈判处理</w:t>
      </w:r>
      <w:r>
        <w:rPr>
          <w:rFonts w:hint="eastAsia" w:ascii="宋体" w:hAnsi="宋体" w:eastAsia="宋体" w:cs="宋体"/>
          <w:color w:val="000000" w:themeColor="text1"/>
          <w:highlight w:val="none"/>
          <w14:textFill>
            <w14:solidFill>
              <w14:schemeClr w14:val="tx1"/>
            </w14:solidFill>
          </w14:textFill>
        </w:rPr>
        <w:t>。</w:t>
      </w:r>
    </w:p>
    <w:p w14:paraId="04870589">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17.2  供应商应按照谈判报价表的内容标明谈判的所有单项价格和总价。谈判报价是完成采购内容所需的全部费用。</w:t>
      </w:r>
    </w:p>
    <w:p w14:paraId="7335245C">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17.3  最终谈判报价是供应商响应文件的有效组成部分。</w:t>
      </w:r>
    </w:p>
    <w:p w14:paraId="37A03F00">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17.4  凡因供应商对竞争性谈判文件阅读不深、理解不透、误解、疏漏、或因市场行情了解不清造成的后果和风险均由供应商自行负责。</w:t>
      </w:r>
    </w:p>
    <w:p w14:paraId="7A1F50E9">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17.5  谈判过程中所产生的一切费用由供应商自行承担。</w:t>
      </w:r>
    </w:p>
    <w:p w14:paraId="768BA6A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18、证明供应商资格的证明文件</w:t>
      </w:r>
    </w:p>
    <w:p w14:paraId="704CEB65">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18.1 供应商须按竞争性谈判文件“供应商须知前附表”的要求，提交证明文件（在竞争性谈判响应文件中提交合格的资格证明文件加盖公章的复印件），以证明其有资格参加谈判和成交后有履行合同的能力，并作为其竞争性谈判响应文件的一部分。如果资格证明文件不全或不合格的，</w:t>
      </w:r>
      <w:r>
        <w:rPr>
          <w:rFonts w:hint="eastAsia" w:ascii="宋体" w:hAnsi="宋体" w:eastAsia="宋体" w:cs="宋体"/>
          <w:b/>
          <w:bCs/>
          <w:color w:val="000000" w:themeColor="text1"/>
          <w:highlight w:val="none"/>
          <w14:textFill>
            <w14:solidFill>
              <w14:schemeClr w14:val="tx1"/>
            </w14:solidFill>
          </w14:textFill>
        </w:rPr>
        <w:t>其谈判将按无效竞争性谈判响应文件处理。</w:t>
      </w:r>
    </w:p>
    <w:p w14:paraId="351BA636">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18.2 供应商还应按照竞争性谈判文件的要求，提交其他的证明其实力、信誉、业绩等的证明文件。</w:t>
      </w:r>
    </w:p>
    <w:p w14:paraId="35DBA2E1">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18.3 如果“供应商须知前附表”有要求，供应商还应按照要求提交资格或其他证明文件的</w:t>
      </w:r>
      <w:r>
        <w:rPr>
          <w:rFonts w:hint="eastAsia" w:ascii="宋体" w:hAnsi="宋体" w:cs="宋体"/>
          <w:color w:val="000000" w:themeColor="text1"/>
          <w:highlight w:val="none"/>
          <w:lang w:val="en-US" w:eastAsia="zh-CN"/>
          <w14:textFill>
            <w14:solidFill>
              <w14:schemeClr w14:val="tx1"/>
            </w14:solidFill>
          </w14:textFill>
        </w:rPr>
        <w:t>资料</w:t>
      </w:r>
      <w:r>
        <w:rPr>
          <w:rFonts w:hint="eastAsia" w:ascii="宋体" w:hAnsi="宋体" w:eastAsia="宋体" w:cs="宋体"/>
          <w:color w:val="000000" w:themeColor="text1"/>
          <w:highlight w:val="none"/>
          <w14:textFill>
            <w14:solidFill>
              <w14:schemeClr w14:val="tx1"/>
            </w14:solidFill>
          </w14:textFill>
        </w:rPr>
        <w:t>。如果未能提供</w:t>
      </w:r>
      <w:r>
        <w:rPr>
          <w:rFonts w:hint="eastAsia" w:ascii="宋体" w:hAnsi="宋体" w:cs="宋体"/>
          <w:color w:val="000000" w:themeColor="text1"/>
          <w:highlight w:val="none"/>
          <w:lang w:val="en-US" w:eastAsia="zh-CN"/>
          <w14:textFill>
            <w14:solidFill>
              <w14:schemeClr w14:val="tx1"/>
            </w14:solidFill>
          </w14:textFill>
        </w:rPr>
        <w:t>资料</w:t>
      </w:r>
      <w:r>
        <w:rPr>
          <w:rFonts w:hint="eastAsia" w:ascii="宋体" w:hAnsi="宋体" w:eastAsia="宋体" w:cs="宋体"/>
          <w:color w:val="000000" w:themeColor="text1"/>
          <w:highlight w:val="none"/>
          <w14:textFill>
            <w14:solidFill>
              <w14:schemeClr w14:val="tx1"/>
            </w14:solidFill>
          </w14:textFill>
        </w:rPr>
        <w:t>或者提供</w:t>
      </w:r>
      <w:r>
        <w:rPr>
          <w:rFonts w:hint="eastAsia" w:ascii="宋体" w:hAnsi="宋体" w:cs="宋体"/>
          <w:color w:val="000000" w:themeColor="text1"/>
          <w:highlight w:val="none"/>
          <w:lang w:val="en-US" w:eastAsia="zh-CN"/>
          <w14:textFill>
            <w14:solidFill>
              <w14:schemeClr w14:val="tx1"/>
            </w14:solidFill>
          </w14:textFill>
        </w:rPr>
        <w:t>资料</w:t>
      </w:r>
      <w:r>
        <w:rPr>
          <w:rFonts w:hint="eastAsia" w:ascii="宋体" w:hAnsi="宋体" w:eastAsia="宋体" w:cs="宋体"/>
          <w:color w:val="000000" w:themeColor="text1"/>
          <w:highlight w:val="none"/>
          <w14:textFill>
            <w14:solidFill>
              <w14:schemeClr w14:val="tx1"/>
            </w14:solidFill>
          </w14:textFill>
        </w:rPr>
        <w:t>不全的，其谈判按照无效谈判处理。</w:t>
      </w:r>
    </w:p>
    <w:p w14:paraId="44541AF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19、证明货物的合格性文件</w:t>
      </w:r>
    </w:p>
    <w:p w14:paraId="30FD377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19.1  供应商应对竞争性谈判文件中的各项条款做出清晰准确的</w:t>
      </w:r>
      <w:r>
        <w:rPr>
          <w:rFonts w:hint="eastAsia" w:ascii="宋体" w:hAnsi="宋体" w:cs="宋体"/>
          <w:color w:val="000000" w:themeColor="text1"/>
          <w:highlight w:val="none"/>
          <w:lang w:val="en-US" w:eastAsia="zh-CN"/>
          <w14:textFill>
            <w14:solidFill>
              <w14:schemeClr w14:val="tx1"/>
            </w14:solidFill>
          </w14:textFill>
        </w:rPr>
        <w:t>响应</w:t>
      </w:r>
      <w:r>
        <w:rPr>
          <w:rFonts w:hint="eastAsia" w:ascii="宋体" w:hAnsi="宋体" w:eastAsia="宋体" w:cs="宋体"/>
          <w:color w:val="000000" w:themeColor="text1"/>
          <w:highlight w:val="none"/>
          <w14:textFill>
            <w14:solidFill>
              <w14:schemeClr w14:val="tx1"/>
            </w14:solidFill>
          </w14:textFill>
        </w:rPr>
        <w:t>，同时应在谈判响应文件中提交货物及服务满足竞争性谈判文件要求并符合国家法律法规、行业管理部门要求的其他强制性标准的证明及文件。缺少证明文件或证明文件不合格的响应文件，与谈判文件要求有重大偏离的响应文件，不符合国家法律法规、行业管理部门要求的其他强制性标准的响应文件将按照无效处理。</w:t>
      </w:r>
    </w:p>
    <w:p w14:paraId="2639FCE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19.2  证明货物与竞争性谈判文件的要求相一致的文件，它可以是文字资料、图表、数据、证书、等，包括：</w:t>
      </w:r>
    </w:p>
    <w:p w14:paraId="146E094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提供详细的响应方案。根据竞争性谈判文件提供的项目需求方案提供对应的响应方案，详细的响应方案必须满足采购人项目需求。根据详细的响应方案列出涉及的货物，逐条说明所提供货物和服务对采购人的技术和商务要求是否做出了实质性响应并提供支持文</w:t>
      </w:r>
      <w:r>
        <w:rPr>
          <w:rFonts w:hint="eastAsia" w:ascii="宋体" w:hAnsi="宋体" w:eastAsia="宋体" w:cs="宋体"/>
          <w:color w:val="000000" w:themeColor="text1"/>
          <w:highlight w:val="none"/>
          <w14:textFill>
            <w14:solidFill>
              <w14:schemeClr w14:val="tx1"/>
            </w14:solidFill>
          </w14:textFill>
        </w:rPr>
        <w:t>件，或申明与技术和商务要求条文的偏差和例外（填写“技术规格偏离表和商务偏离表”和附加详细说明）；</w:t>
      </w:r>
    </w:p>
    <w:p w14:paraId="05341BA0">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（2）货物的主要技术指标和性能的详细说明，至少要包括对竞争性谈判文件</w:t>
      </w:r>
      <w:r>
        <w:rPr>
          <w:rFonts w:hint="eastAsia" w:ascii="宋体" w:hAnsi="宋体" w:eastAsia="宋体" w:cs="宋体"/>
          <w:color w:val="000000" w:themeColor="text1"/>
          <w:highlight w:val="none"/>
          <w14:textFill>
            <w14:solidFill>
              <w14:schemeClr w14:val="tx1"/>
            </w14:solidFill>
          </w14:textFill>
        </w:rPr>
        <w:t>提出的指标的响应；</w:t>
      </w:r>
    </w:p>
    <w:p w14:paraId="6292442C">
      <w:pPr>
        <w:keepLines w:val="0"/>
        <w:pageBreakBefore w:val="0"/>
        <w:overflowPunct w:val="0"/>
        <w:topLinePunct w:val="0"/>
        <w:autoSpaceDE w:val="0"/>
        <w:autoSpaceDN w:val="0"/>
        <w:bidi w:val="0"/>
        <w:adjustRightInd w:val="0"/>
        <w:spacing w:line="500" w:lineRule="exact"/>
        <w:ind w:left="420"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（3）供货范围和服务内容的详细说明；</w:t>
      </w:r>
    </w:p>
    <w:p w14:paraId="2559F144">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19.3  供应商提供的货物在中华人民共和国境内拥有合法的使用权。</w:t>
      </w:r>
    </w:p>
    <w:p w14:paraId="4A24E9D5">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19.4  缺少上述证明及文件或证明及文件不合格的谈判，与竞争性谈判文件要求有重大偏离的谈判，不符合国家法律法规、行业管理部门要求的其他强制性标准的谈判将按照无效谈判处理。</w:t>
      </w:r>
    </w:p>
    <w:p w14:paraId="562BC666">
      <w:pPr>
        <w:keepLines w:val="0"/>
        <w:pageBreakBefore w:val="0"/>
        <w:overflowPunct w:val="0"/>
        <w:topLinePunct w:val="0"/>
        <w:autoSpaceDE w:val="0"/>
        <w:autoSpaceDN w:val="0"/>
        <w:bidi w:val="0"/>
        <w:adjustRightInd w:val="0"/>
        <w:spacing w:line="500" w:lineRule="exact"/>
        <w:ind w:right="6"/>
        <w:rPr>
          <w:rFonts w:hint="eastAsia" w:ascii="宋体" w:hAnsi="宋体" w:cs="宋体"/>
          <w:b/>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0</w:t>
      </w:r>
      <w:r>
        <w:rPr>
          <w:rFonts w:hint="eastAsia" w:ascii="宋体" w:hAnsi="宋体" w:eastAsia="宋体" w:cs="宋体"/>
          <w:b/>
          <w:bCs/>
          <w:color w:val="000000" w:themeColor="text1"/>
          <w:kern w:val="0"/>
          <w:sz w:val="24"/>
          <w:highlight w:val="none"/>
          <w14:textFill>
            <w14:solidFill>
              <w14:schemeClr w14:val="tx1"/>
            </w14:solidFill>
          </w14:textFill>
        </w:rPr>
        <w:t>、谈判保证金</w:t>
      </w:r>
      <w:r>
        <w:rPr>
          <w:rFonts w:hint="eastAsia" w:ascii="宋体" w:hAnsi="宋体" w:eastAsia="宋体" w:cs="宋体"/>
          <w:b/>
          <w:bCs/>
          <w:color w:val="000000" w:themeColor="text1"/>
          <w:kern w:val="0"/>
          <w:sz w:val="24"/>
          <w:highlight w:val="none"/>
          <w:lang w:eastAsia="zh-CN"/>
          <w14:textFill>
            <w14:solidFill>
              <w14:schemeClr w14:val="tx1"/>
            </w14:solidFill>
          </w14:textFill>
        </w:rPr>
        <w:t>：</w:t>
      </w:r>
      <w:r>
        <w:rPr>
          <w:rFonts w:hint="eastAsia" w:ascii="宋体" w:hAnsi="宋体" w:cs="宋体"/>
          <w:b/>
          <w:bCs/>
          <w:color w:val="000000" w:themeColor="text1"/>
          <w:kern w:val="0"/>
          <w:sz w:val="24"/>
          <w:highlight w:val="none"/>
          <w:lang w:val="en-US" w:eastAsia="zh-CN"/>
          <w14:textFill>
            <w14:solidFill>
              <w14:schemeClr w14:val="tx1"/>
            </w14:solidFill>
          </w14:textFill>
        </w:rPr>
        <w:t>本项目不要求。</w:t>
      </w:r>
    </w:p>
    <w:p w14:paraId="50DBDE6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1</w:t>
      </w:r>
      <w:r>
        <w:rPr>
          <w:rFonts w:hint="eastAsia" w:ascii="宋体" w:hAnsi="宋体" w:eastAsia="宋体" w:cs="宋体"/>
          <w:b/>
          <w:bCs/>
          <w:color w:val="000000" w:themeColor="text1"/>
          <w:kern w:val="0"/>
          <w:sz w:val="24"/>
          <w:highlight w:val="none"/>
          <w14:textFill>
            <w14:solidFill>
              <w14:schemeClr w14:val="tx1"/>
            </w14:solidFill>
          </w14:textFill>
        </w:rPr>
        <w:t>、谈判有效期</w:t>
      </w:r>
    </w:p>
    <w:p w14:paraId="2CA4DE7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.1  谈判有效期见供应商须知前附表。谈判有效期短于此规定期限的谈判，将被拒绝。</w:t>
      </w:r>
    </w:p>
    <w:p w14:paraId="1292553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.2  特殊情况下，采购代理机构可于谈判有效期满之前要求供应商同意延长有效期，要求与答复均应为书面形式</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供应商可以拒绝上述要求</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拒绝延长谈判有效期的供应商不得再参与该项目后续采购活动。同意延长谈判有效期的供应商不能修改其谈判响应文件。</w:t>
      </w:r>
    </w:p>
    <w:p w14:paraId="1CBA54A9">
      <w:pPr>
        <w:keepLines w:val="0"/>
        <w:pageBreakBefore w:val="0"/>
        <w:overflowPunct w:val="0"/>
        <w:topLinePunct w:val="0"/>
        <w:autoSpaceDE w:val="0"/>
        <w:autoSpaceDN w:val="0"/>
        <w:bidi w:val="0"/>
        <w:adjustRightInd w:val="0"/>
        <w:spacing w:line="500" w:lineRule="exact"/>
        <w:ind w:right="6"/>
        <w:rPr>
          <w:rFonts w:hint="default" w:ascii="宋体" w:hAnsi="宋体" w:eastAsia="宋体" w:cs="宋体"/>
          <w:b/>
          <w:bCs/>
          <w:color w:val="000000" w:themeColor="text1"/>
          <w:kern w:val="0"/>
          <w:sz w:val="24"/>
          <w:highlight w:val="none"/>
          <w:lang w:val="en-US" w:eastAsia="zh-CN"/>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bCs/>
          <w:color w:val="000000" w:themeColor="text1"/>
          <w:kern w:val="0"/>
          <w:sz w:val="24"/>
          <w:highlight w:val="none"/>
          <w14:textFill>
            <w14:solidFill>
              <w14:schemeClr w14:val="tx1"/>
            </w14:solidFill>
          </w14:textFill>
        </w:rPr>
        <w:t>、谈判响应文件的制作和</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签字盖章要求</w:t>
      </w:r>
    </w:p>
    <w:p w14:paraId="7F9F06A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1为确保采购项目顺利开展，本项目采用电子投标文件。投标人在投标时须提供电子投标文件。编制电子投标文件时，投标人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供应商公章的地方，请使用“企业CA”进行盖章。加密和解密应当使用同一CA，否则将会导致解密失败。因供应商自身原因未使用最新发布的电子招标文件及专用制作工具进行编制，导致电子文件上传失败，由供应商自行承担全部责任。</w:t>
      </w:r>
    </w:p>
    <w:p w14:paraId="5710029E">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.2供应商名称应填写全称，谈判响应文件必须逐页加盖供应商公章</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同时按竞争性谈判文件要求加盖</w:t>
      </w:r>
      <w:r>
        <w:rPr>
          <w:rFonts w:hint="eastAsia" w:ascii="宋体" w:hAnsi="宋体" w:eastAsia="宋体" w:cs="宋体"/>
          <w:color w:val="000000" w:themeColor="text1"/>
          <w:highlight w:val="none"/>
          <w:lang w:val="en-US" w:eastAsia="zh-CN"/>
          <w14:textFill>
            <w14:solidFill>
              <w14:schemeClr w14:val="tx1"/>
            </w14:solidFill>
          </w14:textFill>
        </w:rPr>
        <w:t>法人章</w:t>
      </w:r>
      <w:r>
        <w:rPr>
          <w:rFonts w:hint="eastAsia" w:ascii="宋体" w:hAnsi="宋体" w:eastAsia="宋体" w:cs="宋体"/>
          <w:color w:val="000000" w:themeColor="text1"/>
          <w:highlight w:val="none"/>
          <w14:textFill>
            <w14:solidFill>
              <w14:schemeClr w14:val="tx1"/>
            </w14:solidFill>
          </w14:textFill>
        </w:rPr>
        <w:t>，签署、盖章和内容应完整，如有遗漏，</w:t>
      </w:r>
      <w:r>
        <w:rPr>
          <w:rFonts w:hint="eastAsia" w:ascii="宋体" w:hAnsi="宋体" w:eastAsia="宋体" w:cs="宋体"/>
          <w:b/>
          <w:bCs/>
          <w:color w:val="000000" w:themeColor="text1"/>
          <w:highlight w:val="none"/>
          <w14:textFill>
            <w14:solidFill>
              <w14:schemeClr w14:val="tx1"/>
            </w14:solidFill>
          </w14:textFill>
        </w:rPr>
        <w:t>将被视为无效谈判。</w:t>
      </w:r>
    </w:p>
    <w:p w14:paraId="2A1561BA">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22</w:t>
      </w:r>
      <w:r>
        <w:rPr>
          <w:rFonts w:hint="eastAsia" w:ascii="宋体" w:hAnsi="宋体" w:eastAsia="宋体" w:cs="宋体"/>
          <w:color w:val="000000" w:themeColor="text1"/>
          <w:highlight w:val="none"/>
          <w14:textFill>
            <w14:solidFill>
              <w14:schemeClr w14:val="tx1"/>
            </w14:solidFill>
          </w14:textFill>
        </w:rPr>
        <w:t>.3因字迹潦草、表述不清或不按谈判文件格式编制的谈判响应文件，所引起得对供应商不利的后果，由供应商自行负责。</w:t>
      </w:r>
    </w:p>
    <w:p w14:paraId="7CD209E6">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四、谈判响应文件的递交</w:t>
      </w:r>
    </w:p>
    <w:p w14:paraId="44813A94">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3</w:t>
      </w:r>
      <w:r>
        <w:rPr>
          <w:rFonts w:hint="eastAsia" w:ascii="宋体" w:hAnsi="宋体" w:eastAsia="宋体" w:cs="宋体"/>
          <w:b/>
          <w:bCs/>
          <w:color w:val="000000" w:themeColor="text1"/>
          <w:kern w:val="0"/>
          <w:sz w:val="24"/>
          <w:highlight w:val="none"/>
          <w14:textFill>
            <w14:solidFill>
              <w14:schemeClr w14:val="tx1"/>
            </w14:solidFill>
          </w14:textFill>
        </w:rPr>
        <w:t>、谈判响应文件的标注</w:t>
      </w:r>
    </w:p>
    <w:p w14:paraId="1F33442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.1  供应商应在谈判响应文件</w:t>
      </w:r>
      <w:r>
        <w:rPr>
          <w:rFonts w:hint="eastAsia" w:ascii="宋体" w:hAnsi="宋体" w:eastAsia="宋体" w:cs="宋体"/>
          <w:color w:val="000000" w:themeColor="text1"/>
          <w:highlight w:val="none"/>
          <w:lang w:val="en-US" w:eastAsia="zh-CN"/>
          <w14:textFill>
            <w14:solidFill>
              <w14:schemeClr w14:val="tx1"/>
            </w14:solidFill>
          </w14:textFill>
        </w:rPr>
        <w:t>的</w:t>
      </w:r>
      <w:r>
        <w:rPr>
          <w:rFonts w:hint="eastAsia" w:ascii="宋体" w:hAnsi="宋体" w:eastAsia="宋体" w:cs="宋体"/>
          <w:color w:val="000000" w:themeColor="text1"/>
          <w:highlight w:val="none"/>
          <w14:textFill>
            <w14:solidFill>
              <w14:schemeClr w14:val="tx1"/>
            </w14:solidFill>
          </w14:textFill>
        </w:rPr>
        <w:t>封面上注明供应商名称、项目名称、项目编号、分包号（如有分包）。</w:t>
      </w:r>
    </w:p>
    <w:p w14:paraId="2B09C9AD">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4</w:t>
      </w:r>
      <w:r>
        <w:rPr>
          <w:rFonts w:hint="eastAsia" w:ascii="宋体" w:hAnsi="宋体" w:eastAsia="宋体" w:cs="宋体"/>
          <w:b/>
          <w:bCs/>
          <w:color w:val="000000" w:themeColor="text1"/>
          <w:kern w:val="0"/>
          <w:sz w:val="24"/>
          <w:highlight w:val="none"/>
          <w14:textFill>
            <w14:solidFill>
              <w14:schemeClr w14:val="tx1"/>
            </w14:solidFill>
          </w14:textFill>
        </w:rPr>
        <w:t xml:space="preserve">、谈判响应文件的递交 </w:t>
      </w:r>
    </w:p>
    <w:p w14:paraId="0296CBF1">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  谈判响应文件的截止时间及谈判会议地点见本须知前附表的规定，供应商应在竞争性谈判文件规定的谈判截止时间前，将谈判响应文件按供应商须知前附表的规定</w:t>
      </w:r>
      <w:r>
        <w:rPr>
          <w:rFonts w:hint="eastAsia" w:ascii="宋体" w:hAnsi="宋体" w:eastAsia="宋体" w:cs="宋体"/>
          <w:color w:val="000000" w:themeColor="text1"/>
          <w:highlight w:val="none"/>
          <w:lang w:val="en-US" w:eastAsia="zh-CN"/>
          <w14:textFill>
            <w14:solidFill>
              <w14:schemeClr w14:val="tx1"/>
            </w14:solidFill>
          </w14:textFill>
        </w:rPr>
        <w:t>上传</w:t>
      </w:r>
      <w:r>
        <w:rPr>
          <w:rFonts w:hint="eastAsia" w:ascii="宋体" w:hAnsi="宋体" w:eastAsia="宋体" w:cs="宋体"/>
          <w:color w:val="000000" w:themeColor="text1"/>
          <w:highlight w:val="none"/>
          <w14:textFill>
            <w14:solidFill>
              <w14:schemeClr w14:val="tx1"/>
            </w14:solidFill>
          </w14:textFill>
        </w:rPr>
        <w:t>。</w:t>
      </w:r>
    </w:p>
    <w:p w14:paraId="7C9839F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 递交谈判响应文件截止时间止，若收到的谈判响应文件少于3个，采购人将报请监督管理机构批准变更采购方式或择日重新组织采购；</w:t>
      </w:r>
    </w:p>
    <w:p w14:paraId="4CC1DB2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 xml:space="preserve">  采购人可按本须知的规定以修改补充通知的方式，酌情延长首次提交谈判响应文件的截止时间。在此情况下，供应商的所有权利和义务以及供应商受制约的截止时间，均以延长后新的首次提交谈判响应文件截止时间为准。</w:t>
      </w:r>
    </w:p>
    <w:p w14:paraId="69736CDE">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24"/>
          <w:highlight w:val="none"/>
          <w14:textFill>
            <w14:solidFill>
              <w14:schemeClr w14:val="tx1"/>
            </w14:solidFill>
          </w14:textFill>
        </w:rPr>
        <w:t>、谈判响应文件的补充、修改和撤回</w:t>
      </w:r>
    </w:p>
    <w:p w14:paraId="6EF8A48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.1  供应商在递交谈判响应文件以后，可以修改或撤回其谈判响应文件。</w:t>
      </w:r>
    </w:p>
    <w:p w14:paraId="67163DF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.2  在谈判截止时间之后，供应商不得对其递交的谈判响应文件做任何补充、修改或撤回谈判。</w:t>
      </w:r>
    </w:p>
    <w:p w14:paraId="5E1350AF">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bCs/>
          <w:color w:val="000000" w:themeColor="text1"/>
          <w:kern w:val="0"/>
          <w:sz w:val="24"/>
          <w:highlight w:val="none"/>
          <w14:textFill>
            <w14:solidFill>
              <w14:schemeClr w14:val="tx1"/>
            </w14:solidFill>
          </w14:textFill>
        </w:rPr>
        <w:t>、谈判纪律要求</w:t>
      </w:r>
    </w:p>
    <w:p w14:paraId="30905714">
      <w:pPr>
        <w:keepLines w:val="0"/>
        <w:pageBreakBefore w:val="0"/>
        <w:overflowPunct w:val="0"/>
        <w:topLinePunct w:val="0"/>
        <w:autoSpaceDE w:val="0"/>
        <w:autoSpaceDN w:val="0"/>
        <w:bidi w:val="0"/>
        <w:adjustRightInd w:val="0"/>
        <w:spacing w:line="500" w:lineRule="exact"/>
        <w:ind w:right="6" w:rightChars="0"/>
        <w:outlineLvl w:val="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.1  供应商参加谈判不得有下列情形：</w:t>
      </w:r>
    </w:p>
    <w:p w14:paraId="3C234E3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（1）提供虚假材料谋取成交；</w:t>
      </w:r>
    </w:p>
    <w:p w14:paraId="4C21147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（2）采取不正当手段诋毁、排挤其他供应商；</w:t>
      </w:r>
    </w:p>
    <w:p w14:paraId="07C5569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（3）与采购单位、其他供应商恶意串通；</w:t>
      </w:r>
    </w:p>
    <w:p w14:paraId="3B65CB6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（4）向采购人、采购代理机构单位、谈判小组成员行贿或者提供其他不正当利益；</w:t>
      </w:r>
    </w:p>
    <w:p w14:paraId="387AFE6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（5）拒绝有关部门的监督检查或者向监督检查部门提供虚假情况。</w:t>
      </w:r>
    </w:p>
    <w:p w14:paraId="4252739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有上述情形之一的供应商，属于不合格供应商，其谈判或成交资格将被取消。</w:t>
      </w:r>
    </w:p>
    <w:p w14:paraId="200DE0BB">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五、谈判</w:t>
      </w:r>
    </w:p>
    <w:p w14:paraId="04D65A56">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7</w:t>
      </w:r>
      <w:r>
        <w:rPr>
          <w:rFonts w:hint="eastAsia" w:ascii="宋体" w:hAnsi="宋体" w:eastAsia="宋体" w:cs="宋体"/>
          <w:b/>
          <w:bCs/>
          <w:color w:val="000000" w:themeColor="text1"/>
          <w:kern w:val="0"/>
          <w:sz w:val="24"/>
          <w:highlight w:val="none"/>
          <w14:textFill>
            <w14:solidFill>
              <w14:schemeClr w14:val="tx1"/>
            </w14:solidFill>
          </w14:textFill>
        </w:rPr>
        <w:t>、谈判会议时间和地点</w:t>
      </w:r>
    </w:p>
    <w:p w14:paraId="308EC9F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.1  采购代理机构在供应商须知前附表中规定的谈判截止时间和地点组织谈判会议，采购人、供应商须派代表参加并签到以证明其出席。</w:t>
      </w:r>
    </w:p>
    <w:p w14:paraId="07A34546">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8</w:t>
      </w:r>
      <w:r>
        <w:rPr>
          <w:rFonts w:hint="eastAsia" w:ascii="宋体" w:hAnsi="宋体" w:eastAsia="宋体" w:cs="宋体"/>
          <w:b/>
          <w:bCs/>
          <w:color w:val="000000" w:themeColor="text1"/>
          <w:kern w:val="0"/>
          <w:sz w:val="24"/>
          <w:highlight w:val="none"/>
          <w14:textFill>
            <w14:solidFill>
              <w14:schemeClr w14:val="tx1"/>
            </w14:solidFill>
          </w14:textFill>
        </w:rPr>
        <w:t>、谈判</w:t>
      </w:r>
    </w:p>
    <w:p w14:paraId="00ECAB7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.1  谈判会议由采购代理机构主持；</w:t>
      </w:r>
    </w:p>
    <w:p w14:paraId="1B0766C0">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  谈判时，谈判小组首先对谈判响应文件进行评审，并根据谈判文件规定的程序、评审成交的标准等事项与实质性响应谈判文件要求的供应商进行谈判。未实质性响应谈判文件的响应文件按无效文件处理，谈判小组将告知有关供应商。</w:t>
      </w:r>
    </w:p>
    <w:p w14:paraId="1B68B393">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 xml:space="preserve">  谈判小组所有成员集中与供应商分别进行谈判，并给予所有参加谈判的供应商平等的谈判机会。在谈判过程中，谈判小组可以根据谈判文件和谈判情况实质性变动采购需求中的技术、服务要求以及合同草案条款。所有变动内容均是谈判文件的有效组成部分，谈判小组将以书面形式同时通知所有参加谈判的供应商。</w:t>
      </w:r>
    </w:p>
    <w:p w14:paraId="03C15D56">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 xml:space="preserve">  在谈判过程中，谈判小组可以根据谈判文件和谈判情况提出实质性变动采购需求中的技术、服务要求以及合同草案条款，实质性变动的内容经采购人代表确认。实质性变动是谈判文件的有效组成部分，谈判小组以书面形式同时通知所有参加谈判的供应商。参加谈判的供应商应当按照谈判文件的变动情况和谈判小组的要求重新提交谈判响应文件，并由其法定代表人或授权代表签字或者加盖公章。由授权代表签字的，应当附法定代表人授权书。供应商为自然人的，应当由本人签字并附身份证明。</w:t>
      </w:r>
    </w:p>
    <w:p w14:paraId="75A0C82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 xml:space="preserve"> 竞争性谈判实行多次报价。谈判结束后，供应商应当在谈判小组规定的时间内提交最后报价。最后报价为最终报价，该谈判报价为不可更改价格，最后报价是供应商响应文件的有效组成部分，作为谈判小组推荐成交候选人的依据。如采购需求没有实质性变化，各供应商的报价应逐次降低，本次报价超过上次报价的，为无效报价。出现相同报价的，可再次报价，直至产生唯一最低报价。最终报价仍超预算，且采购人无力追加，谈判小组有权宣布谈判失败。</w:t>
      </w:r>
    </w:p>
    <w:p w14:paraId="21FCFE84">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 xml:space="preserve"> 谈判小组认为供应商的最后报价或者某些分项报价明显不合理或者低于成本，有可能影响产品质量和不能诚信履约的，要求其在谈判小组规定的期限内提供书面文件予以解释说明，并提交相关证明材料；如果其不能在谈判小组规定时间内够提供相关材料证明其报价的合理性，其最后报价为无效报价。</w:t>
      </w:r>
    </w:p>
    <w:p w14:paraId="142ACD28">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在开标环节出现下列情况之一的，其电子响应文件视为无效文件：</w:t>
      </w:r>
    </w:p>
    <w:p w14:paraId="37B987C5">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"https://20.1.6.1"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供应商拒绝对电子响应文件进行解密的；</w:t>
      </w:r>
    </w:p>
    <w:p w14:paraId="2A9C1BB1">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7.2</w:t>
      </w:r>
      <w:r>
        <w:rPr>
          <w:rFonts w:hint="eastAsia" w:ascii="宋体" w:hAnsi="宋体" w:eastAsia="宋体" w:cs="宋体"/>
          <w:color w:val="000000" w:themeColor="text1"/>
          <w:highlight w:val="none"/>
          <w14:textFill>
            <w14:solidFill>
              <w14:schemeClr w14:val="tx1"/>
            </w14:solidFill>
          </w14:textFill>
        </w:rPr>
        <w:t>因供应商自身原因（如未带CA锁、或所带CA锁与制作电子响应文件使用的CA锁不一致、或沿用旧版谈判文件编制响应文件等情形），导致在规定时间内无法解密响应文件的；</w:t>
      </w:r>
    </w:p>
    <w:p w14:paraId="2BE024F0">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"https://20.1.6.3"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上传的电子响应文件无法打开的；</w:t>
      </w:r>
    </w:p>
    <w:p w14:paraId="6A18DB23">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"https://20.1.6.4"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政府采购法律法规规定的其他无效情形。</w:t>
      </w:r>
    </w:p>
    <w:p w14:paraId="070CC7EC">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六、评审</w:t>
      </w:r>
    </w:p>
    <w:p w14:paraId="14FAD958">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lang w:val="en-US" w:eastAsia="zh-CN"/>
          <w14:textFill>
            <w14:solidFill>
              <w14:schemeClr w14:val="tx1"/>
            </w14:solidFill>
          </w14:textFill>
        </w:rPr>
        <w:t>29</w:t>
      </w:r>
      <w:r>
        <w:rPr>
          <w:rFonts w:hint="eastAsia" w:ascii="宋体" w:hAnsi="宋体" w:eastAsia="宋体" w:cs="宋体"/>
          <w:b/>
          <w:bCs/>
          <w:color w:val="000000" w:themeColor="text1"/>
          <w:kern w:val="0"/>
          <w:sz w:val="24"/>
          <w:highlight w:val="none"/>
          <w14:textFill>
            <w14:solidFill>
              <w14:schemeClr w14:val="tx1"/>
            </w14:solidFill>
          </w14:textFill>
        </w:rPr>
        <w:t>、谈判小组</w:t>
      </w:r>
    </w:p>
    <w:p w14:paraId="309BD60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.1  采购人将根据本次采购项目的特点，参照《中华人民共和国政府采购法》、中华人民共和国2015年第658号国务院令--《中华人民共和国政府采购法实施条例》和中华人民共和国财政部2013年第74号令--《政府采购非招标采购方式管理办法》等政策法规的规定，依法组建竞争性谈判小组。谈判小组按照竞争性谈判文件规定的评审方法独立进行评审工作。</w:t>
      </w:r>
    </w:p>
    <w:p w14:paraId="180734B8">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.2  谈判小组成员到位后，推荐一名评审专家担任评审组长，并由评审组长牵头组织该项目评审工作，采购人授权的评审专家，不得担任评审组长。</w:t>
      </w:r>
    </w:p>
    <w:p w14:paraId="0309FE2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.3  谈判小组成员有下列情形之一的，应当回避：</w:t>
      </w:r>
    </w:p>
    <w:p w14:paraId="7D016C5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（1）采购人或供应商的主要负责人的近亲属；</w:t>
      </w:r>
    </w:p>
    <w:p w14:paraId="019C81B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（2）项目主管部门或者行政监督部门的人员；</w:t>
      </w:r>
    </w:p>
    <w:p w14:paraId="27B07050">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（3）与供应商有经济利益关系，可能影响对谈判公正评审的；</w:t>
      </w:r>
    </w:p>
    <w:p w14:paraId="4FF2FEFA">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（4）曾因在评审以及其他与政府采购有关活动中从事违法行为而受过行政处罚或刑事处罚的。</w:t>
      </w:r>
    </w:p>
    <w:p w14:paraId="0ACFD6D8">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.4  竞争性谈判文件和谈判响应文件是评审的依据。在评审中，不得改变竞争性谈判文件中规定的评审标准、方法和成交条件。供应商不得在谈判会议后使用任何方式对谈判响应文件的实质性内容做任何更改。</w:t>
      </w:r>
    </w:p>
    <w:p w14:paraId="4B93ADB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.5  在评审期间，对谈判响应文件中含义不明确、同类问题表述不一致或者有明显文字和计算错误的内容，谈判小组可以书面形式（由谈判小组专家签字）要求供应商作出必要的澄清、说明或者纠正。供应商的澄清、说明或者补正应当采用书面形式，由其授权的代表签字，并不得超出谈判响应文件的范围或者改变谈判响应文件的实质性内容。</w:t>
      </w:r>
    </w:p>
    <w:p w14:paraId="2118819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.6  如果供应商在澄清规定期限内，未能答复或拒绝答复评委会提出的澄清要求，将由谈判小组根据其谈判响应文件按最大风险进行评审。</w:t>
      </w:r>
    </w:p>
    <w:p w14:paraId="6AA4C2D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29</w:t>
      </w:r>
      <w:r>
        <w:rPr>
          <w:rFonts w:hint="eastAsia" w:ascii="宋体" w:hAnsi="宋体" w:eastAsia="宋体" w:cs="宋体"/>
          <w:color w:val="000000" w:themeColor="text1"/>
          <w:highlight w:val="none"/>
          <w14:textFill>
            <w14:solidFill>
              <w14:schemeClr w14:val="tx1"/>
            </w14:solidFill>
          </w14:textFill>
        </w:rPr>
        <w:t>.7  谈判小组成员对各供应商谈判响应文件进行审查、质疑、评估和比较，并推荐出3名成交候选人。</w:t>
      </w:r>
    </w:p>
    <w:p w14:paraId="69C455F3">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0</w:t>
      </w:r>
      <w:r>
        <w:rPr>
          <w:rFonts w:hint="eastAsia" w:ascii="宋体" w:hAnsi="宋体" w:eastAsia="宋体" w:cs="宋体"/>
          <w:b/>
          <w:bCs/>
          <w:color w:val="000000" w:themeColor="text1"/>
          <w:kern w:val="0"/>
          <w:sz w:val="24"/>
          <w:highlight w:val="none"/>
          <w14:textFill>
            <w14:solidFill>
              <w14:schemeClr w14:val="tx1"/>
            </w14:solidFill>
          </w14:textFill>
        </w:rPr>
        <w:t>、评审原则</w:t>
      </w:r>
    </w:p>
    <w:p w14:paraId="76320B4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评审原则应遵循公平、公正、科学和择优的原则，并以相同的评审程序和标准对待所有的供应商。</w:t>
      </w:r>
    </w:p>
    <w:p w14:paraId="21B5D5FB">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1</w:t>
      </w:r>
      <w:r>
        <w:rPr>
          <w:rFonts w:hint="eastAsia" w:ascii="宋体" w:hAnsi="宋体" w:eastAsia="宋体" w:cs="宋体"/>
          <w:b/>
          <w:bCs/>
          <w:color w:val="000000" w:themeColor="text1"/>
          <w:kern w:val="0"/>
          <w:sz w:val="24"/>
          <w:highlight w:val="none"/>
          <w14:textFill>
            <w14:solidFill>
              <w14:schemeClr w14:val="tx1"/>
            </w14:solidFill>
          </w14:textFill>
        </w:rPr>
        <w:t>、评审</w:t>
      </w:r>
    </w:p>
    <w:p w14:paraId="6BCB3A9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.1  谈判小组严格按照《政府采购非招标采购方式管理办法》（财政部第74号令）规定的程序和竞争性谈判文件规定的评审办法及标准对各谈判响应文件进行评审。</w:t>
      </w:r>
    </w:p>
    <w:p w14:paraId="3AEF88A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.2  谈判小组负责具体评审事务，并独立履行下列职责：</w:t>
      </w:r>
    </w:p>
    <w:p w14:paraId="751D18C1">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（1）审查谈判响应文件是否符合竞争性谈判文件要求，并做出评价；</w:t>
      </w:r>
    </w:p>
    <w:p w14:paraId="59F65D2C">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（2）以书面形式要求供应商就谈判响应文件中含义不明确的内容及有关事项做出解释或者澄清，并提供相关材料；</w:t>
      </w:r>
    </w:p>
    <w:p w14:paraId="1A3C2A6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（3）推荐成交候选供应商名单，或者受采购人委托按照事先确定的办法直接确定成交人；</w:t>
      </w:r>
    </w:p>
    <w:p w14:paraId="578D119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（4）配合采购人、采购代理机构答复各供应商提出的质疑；</w:t>
      </w:r>
    </w:p>
    <w:p w14:paraId="341BF562">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（5）向采购单位或者有关部门报告非法干预评审工作的行为。</w:t>
      </w:r>
    </w:p>
    <w:p w14:paraId="56A6671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.3  评审过程严格保密</w:t>
      </w:r>
    </w:p>
    <w:p w14:paraId="470057A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（1）谈判小组成员和与评审活动有关的工作人员不得泄露有关谈判响应文件的评审和比较、成交候选人的推荐以及与评审有关的其他情况。</w:t>
      </w:r>
    </w:p>
    <w:p w14:paraId="609A42C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（2）在评审过程中，如果供应商试图在谈判响应文件的评审和比较、成交候选人的推荐以及与评审有关的其他方面，向评审人、采购人和采购代理机构施加任何影响的任何行为，都将会导致其谈判被拒绝。</w:t>
      </w:r>
    </w:p>
    <w:p w14:paraId="54037DBC">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（3）成交人确定后，采购人和代理机构不对未成交人就评审过程以及未能成交原因作出任何解释。</w:t>
      </w:r>
    </w:p>
    <w:p w14:paraId="66183748">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七、定标</w:t>
      </w:r>
    </w:p>
    <w:p w14:paraId="491333BE">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bCs/>
          <w:color w:val="000000" w:themeColor="text1"/>
          <w:kern w:val="0"/>
          <w:sz w:val="24"/>
          <w:highlight w:val="none"/>
          <w14:textFill>
            <w14:solidFill>
              <w14:schemeClr w14:val="tx1"/>
            </w14:solidFill>
          </w14:textFill>
        </w:rPr>
        <w:t>、定标原则</w:t>
      </w:r>
    </w:p>
    <w:p w14:paraId="1F19156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采购人根据谈判小组推荐的成交候选人名单，按顺序确定成交人。</w:t>
      </w:r>
    </w:p>
    <w:p w14:paraId="0187468D">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3</w:t>
      </w:r>
      <w:r>
        <w:rPr>
          <w:rFonts w:hint="eastAsia" w:ascii="宋体" w:hAnsi="宋体" w:eastAsia="宋体" w:cs="宋体"/>
          <w:b/>
          <w:bCs/>
          <w:color w:val="000000" w:themeColor="text1"/>
          <w:kern w:val="0"/>
          <w:sz w:val="24"/>
          <w:highlight w:val="none"/>
          <w14:textFill>
            <w14:solidFill>
              <w14:schemeClr w14:val="tx1"/>
            </w14:solidFill>
          </w14:textFill>
        </w:rPr>
        <w:t>、定标程序</w:t>
      </w:r>
    </w:p>
    <w:p w14:paraId="0FBB43F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 xml:space="preserve">.1  谈判小组根据评审办法的规定对供应商进行评审排序，推荐成交候选人，形成评审报告，评审报告由谈判小组全体成员签字确认。    </w:t>
      </w:r>
    </w:p>
    <w:p w14:paraId="278E788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.2  采购代理机构应在评审结束后2个工作日内，将评审报告送采购人定标。</w:t>
      </w:r>
    </w:p>
    <w:p w14:paraId="35159448">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.3  采购人在收到评审报告后5个工作日内，从评审报告提出的成交候选人中，根据质量和服务均能满足采购文件实质性响应要求且最终谈判报价最低的原则确定成交供应商，也可以书面授权谈判小组直接确定成交供应商，同时复函采购代理机构。</w:t>
      </w:r>
    </w:p>
    <w:p w14:paraId="6A828D3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.4  采购代理机构在接到采购人的定标复函之日起2个工作日内，根据采购人确定的成交人，在财政部门指定的政府采购信息发布媒体上公告。</w:t>
      </w:r>
    </w:p>
    <w:p w14:paraId="30FD9EF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.5  采购单位不解释成交或落标原因，未成交人不得向谈判小组成员或其他有关人员索问评审过程的情况和材料。不退回谈判响应文件和其他谈判资料。</w:t>
      </w:r>
    </w:p>
    <w:p w14:paraId="2B1E602E">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.6  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14D018E1">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.7 成交供应商拒绝与采购人签订合同的，采购人可以按照评审报告推荐的成交候选人名单排序，确定下一候选人为成交供应商，也可以重新开展政府采购活动。</w:t>
      </w:r>
    </w:p>
    <w:p w14:paraId="06D3467C">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4</w:t>
      </w:r>
      <w:r>
        <w:rPr>
          <w:rFonts w:hint="eastAsia" w:ascii="宋体" w:hAnsi="宋体" w:eastAsia="宋体" w:cs="宋体"/>
          <w:b/>
          <w:bCs/>
          <w:color w:val="000000" w:themeColor="text1"/>
          <w:kern w:val="0"/>
          <w:sz w:val="24"/>
          <w:highlight w:val="none"/>
          <w14:textFill>
            <w14:solidFill>
              <w14:schemeClr w14:val="tx1"/>
            </w14:solidFill>
          </w14:textFill>
        </w:rPr>
        <w:t>、成交通知书</w:t>
      </w:r>
    </w:p>
    <w:p w14:paraId="28B8E4F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.1  成交人确定之后，</w:t>
      </w:r>
      <w:r>
        <w:rPr>
          <w:rFonts w:hint="eastAsia" w:ascii="宋体" w:hAnsi="宋体" w:eastAsia="宋体" w:cs="宋体"/>
          <w:color w:val="000000" w:themeColor="text1"/>
          <w:highlight w:val="none"/>
          <w:lang w:eastAsia="zh-CN"/>
          <w14:textFill>
            <w14:solidFill>
              <w14:schemeClr w14:val="tx1"/>
            </w14:solidFill>
          </w14:textFill>
        </w:rPr>
        <w:t>安康华昊智远项目管理有限公司</w:t>
      </w:r>
      <w:r>
        <w:rPr>
          <w:rFonts w:hint="eastAsia" w:ascii="宋体" w:hAnsi="宋体" w:eastAsia="宋体" w:cs="宋体"/>
          <w:color w:val="000000" w:themeColor="text1"/>
          <w:highlight w:val="none"/>
          <w14:textFill>
            <w14:solidFill>
              <w14:schemeClr w14:val="tx1"/>
            </w14:solidFill>
          </w14:textFill>
        </w:rPr>
        <w:t>将发出《成交通知书》。</w:t>
      </w:r>
    </w:p>
    <w:p w14:paraId="2CB93E0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.2  成交通知书为签订政府采购合同的依据，是合同的重要组成部分。</w:t>
      </w:r>
    </w:p>
    <w:p w14:paraId="485B9C8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.3  成交通知书对采购人和成交人均具有法律效力。成交通知书发出后，采购人改变成交结果，或者成交人无正当理由放弃成交的，应当承担相应的法律责任。</w:t>
      </w:r>
    </w:p>
    <w:p w14:paraId="76E08369">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.4  成交人在接到采购代理机构通知之日起7日内领取《成交通知书》。如果已成交的供应商不能按谈判响应文件，包括补充文件（如澄清、承诺等）中承诺的条件履行签约行为，采购人有权取消其成交资格。</w:t>
      </w:r>
    </w:p>
    <w:p w14:paraId="5DD5C8F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.5  在《成交通知书》发出后，发现成交人有政府采购法律法规规章制度规定的成交无效情形的，采购代理机构在取得监督管理机构的认定以后，应当宣布发出的《成交通知书》无效，并收回发出的《成交通知书》（成交人也应当缴回），依法重新确定成交人或者重新开展采购活动。</w:t>
      </w:r>
    </w:p>
    <w:p w14:paraId="6D4B83DD">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 xml:space="preserve">.6  </w:t>
      </w:r>
      <w:r>
        <w:rPr>
          <w:rFonts w:hint="eastAsia" w:ascii="宋体" w:hAnsi="宋体" w:eastAsia="宋体" w:cs="宋体"/>
          <w:color w:val="000000" w:themeColor="text1"/>
          <w:highlight w:val="none"/>
          <w14:textFill>
            <w14:solidFill>
              <w14:schemeClr w14:val="tx1"/>
            </w14:solidFill>
          </w14:textFill>
        </w:rPr>
        <w:t>若排名第一的成交候选人放弃成交、因不可抗力不能履行合同、或者被查实存在影响成交结果的违法行为等情形，不符合成交条件的，采购人可以按照谈判小组提出的成交候选人名单排序依次确定其他成交候选人为成交供应商，也可以重新招标。</w:t>
      </w:r>
    </w:p>
    <w:p w14:paraId="1B5E2CF5">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八、废标</w:t>
      </w:r>
    </w:p>
    <w:p w14:paraId="1ED5ED51">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bCs/>
          <w:color w:val="000000" w:themeColor="text1"/>
          <w:kern w:val="0"/>
          <w:sz w:val="24"/>
          <w:highlight w:val="none"/>
          <w14:textFill>
            <w14:solidFill>
              <w14:schemeClr w14:val="tx1"/>
            </w14:solidFill>
          </w14:textFill>
        </w:rPr>
        <w:t>、废标的情形</w:t>
      </w:r>
    </w:p>
    <w:p w14:paraId="7D081F1D">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采购活动中，出现下列情形之一的，予以废标：</w:t>
      </w:r>
    </w:p>
    <w:p w14:paraId="3194BFD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（1）出现影响采购公正的违法、违规行为的；</w:t>
      </w:r>
    </w:p>
    <w:p w14:paraId="4CFC2366">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（2）供应商的谈判报价均超过了采购预算，采购人不能支付的；</w:t>
      </w:r>
    </w:p>
    <w:p w14:paraId="2908F767">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（3）谈判小组三分之二以上的评委认定所有谈判报价存在价格不实的现象；</w:t>
      </w:r>
    </w:p>
    <w:p w14:paraId="1DF43107">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（4）有证据证明有围标现象的发生；</w:t>
      </w:r>
    </w:p>
    <w:p w14:paraId="17A267D6">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（5）有证据证明有《中华人民共和国财政部令第87号》第37条</w:t>
      </w:r>
      <w:r>
        <w:rPr>
          <w:rFonts w:hint="eastAsia" w:ascii="宋体" w:hAnsi="宋体" w:eastAsia="宋体" w:cs="宋体"/>
          <w:color w:val="000000" w:themeColor="text1"/>
          <w:highlight w:val="none"/>
          <w:lang w:val="en-US" w:eastAsia="zh-CN"/>
          <w14:textFill>
            <w14:solidFill>
              <w14:schemeClr w14:val="tx1"/>
            </w14:solidFill>
          </w14:textFill>
        </w:rPr>
        <w:t>串</w:t>
      </w:r>
      <w:r>
        <w:rPr>
          <w:rFonts w:hint="eastAsia" w:ascii="宋体" w:hAnsi="宋体" w:eastAsia="宋体" w:cs="宋体"/>
          <w:color w:val="000000" w:themeColor="text1"/>
          <w:highlight w:val="none"/>
          <w14:textFill>
            <w14:solidFill>
              <w14:schemeClr w14:val="tx1"/>
            </w14:solidFill>
          </w14:textFill>
        </w:rPr>
        <w:t>标情形的；</w:t>
      </w:r>
    </w:p>
    <w:p w14:paraId="59BB100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（6）因重大变故，采购任务取消的。</w:t>
      </w:r>
    </w:p>
    <w:p w14:paraId="1E38351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废标后，采购代理机构应在财政部门指定采购网上公告，并公告废标的详细理由。</w:t>
      </w:r>
    </w:p>
    <w:p w14:paraId="12C85BD7">
      <w:pPr>
        <w:keepLines w:val="0"/>
        <w:pageBreakBefore w:val="0"/>
        <w:overflowPunct w:val="0"/>
        <w:topLinePunct w:val="0"/>
        <w:bidi w:val="0"/>
        <w:spacing w:before="240" w:after="120"/>
        <w:jc w:val="center"/>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九、合同授予</w:t>
      </w:r>
    </w:p>
    <w:p w14:paraId="65B051C8">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bCs/>
          <w:color w:val="000000" w:themeColor="text1"/>
          <w:kern w:val="0"/>
          <w:sz w:val="24"/>
          <w:highlight w:val="none"/>
          <w14:textFill>
            <w14:solidFill>
              <w14:schemeClr w14:val="tx1"/>
            </w14:solidFill>
          </w14:textFill>
        </w:rPr>
        <w:t>、履约担保（若有）</w:t>
      </w:r>
    </w:p>
    <w:p w14:paraId="32B3E9AC">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.1 在签订合同前，成交供应商应按供应商须知前附表规定的金额、担保形式和</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文件规定的履约担保格式向采购人提交履约担保。</w:t>
      </w:r>
    </w:p>
    <w:p w14:paraId="5E3DB3DF">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.2 采用银行保函时，出具银行保函的银行级别在供应商须知前附表中说明，所需的费用由成交供应商承担，成交供应商应保证银行保函有效。</w:t>
      </w:r>
    </w:p>
    <w:p w14:paraId="1B079F05">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.3 履约保证金用于补偿采购人因成交供应商不能完成其合同义务而蒙受的损失。</w:t>
      </w:r>
    </w:p>
    <w:p w14:paraId="4285A84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.4 若成交供应商不能按本须知规定交纳履约保证金的，视为放弃成交。</w:t>
      </w:r>
    </w:p>
    <w:p w14:paraId="43D3F36B">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.5 若成交供应商未能履行合同规定的义务，采购人有权没收履约保证金取得补偿，因此给采购人造成的损失超过</w:t>
      </w:r>
      <w:r>
        <w:rPr>
          <w:rFonts w:hint="eastAsia" w:ascii="宋体" w:hAnsi="宋体" w:eastAsia="宋体" w:cs="宋体"/>
          <w:color w:val="000000" w:themeColor="text1"/>
          <w:highlight w:val="none"/>
          <w:lang w:eastAsia="zh-CN"/>
          <w14:textFill>
            <w14:solidFill>
              <w14:schemeClr w14:val="tx1"/>
            </w14:solidFill>
          </w14:textFill>
        </w:rPr>
        <w:t>谈判</w:t>
      </w:r>
      <w:r>
        <w:rPr>
          <w:rFonts w:hint="eastAsia" w:ascii="宋体" w:hAnsi="宋体" w:eastAsia="宋体" w:cs="宋体"/>
          <w:color w:val="000000" w:themeColor="text1"/>
          <w:highlight w:val="none"/>
          <w14:textFill>
            <w14:solidFill>
              <w14:schemeClr w14:val="tx1"/>
            </w14:solidFill>
          </w14:textFill>
        </w:rPr>
        <w:t>担保数额的，还应当对超过部分予以赔偿。</w:t>
      </w:r>
    </w:p>
    <w:p w14:paraId="00C81C55">
      <w:pPr>
        <w:keepLines w:val="0"/>
        <w:pageBreakBefore w:val="0"/>
        <w:overflowPunct w:val="0"/>
        <w:topLinePunct w:val="0"/>
        <w:autoSpaceDE w:val="0"/>
        <w:autoSpaceDN w:val="0"/>
        <w:bidi w:val="0"/>
        <w:adjustRightInd w:val="0"/>
        <w:spacing w:line="500" w:lineRule="exact"/>
        <w:ind w:right="6" w:firstLine="420" w:firstLineChars="200"/>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.6 成交供应商履约担保有效期为本项目合同终止之日，采购人应当在成交供应商履约担保有效期截止后，向财务部门出具确认成交供应商履行完毕本合同相关约定事项的正式书面文件，财务部门方可退还成交供应商履约保证金（视项目情况而定）。</w:t>
      </w:r>
    </w:p>
    <w:p w14:paraId="1EFFC640">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7</w:t>
      </w:r>
      <w:r>
        <w:rPr>
          <w:rFonts w:hint="eastAsia" w:ascii="宋体" w:hAnsi="宋体" w:eastAsia="宋体" w:cs="宋体"/>
          <w:b/>
          <w:bCs/>
          <w:color w:val="000000" w:themeColor="text1"/>
          <w:kern w:val="0"/>
          <w:sz w:val="24"/>
          <w:highlight w:val="none"/>
          <w14:textFill>
            <w14:solidFill>
              <w14:schemeClr w14:val="tx1"/>
            </w14:solidFill>
          </w14:textFill>
        </w:rPr>
        <w:t>、签订合同</w:t>
      </w:r>
    </w:p>
    <w:p w14:paraId="303323B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.1  采购人应当自《成交通知书》发出之日起</w:t>
      </w:r>
      <w:r>
        <w:rPr>
          <w:rFonts w:hint="eastAsia" w:ascii="宋体" w:hAnsi="宋体" w:cs="宋体"/>
          <w:color w:val="000000" w:themeColor="text1"/>
          <w:highlight w:val="none"/>
          <w:lang w:val="en-US" w:eastAsia="zh-CN"/>
          <w14:textFill>
            <w14:solidFill>
              <w14:schemeClr w14:val="tx1"/>
            </w14:solidFill>
          </w14:textFill>
        </w:rPr>
        <w:t>25</w:t>
      </w:r>
      <w:r>
        <w:rPr>
          <w:rFonts w:hint="eastAsia" w:ascii="宋体" w:hAnsi="宋体" w:eastAsia="宋体" w:cs="宋体"/>
          <w:color w:val="000000" w:themeColor="text1"/>
          <w:highlight w:val="none"/>
          <w14:textFill>
            <w14:solidFill>
              <w14:schemeClr w14:val="tx1"/>
            </w14:solidFill>
          </w14:textFill>
        </w:rPr>
        <w:t>日内，按照谈判文件和成交供应商谈判响应文件（包括谈判评审中形成的最后报价等补充文件）的约定，与成交人签订书面合同。所签订的合同不得对谈判文件和成交供应商的谈判响应文件（包括评标中形成的澄清文件）作实质性修改。</w:t>
      </w:r>
    </w:p>
    <w:p w14:paraId="24FF5D9F">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.2  成交供应商因不可抗力或者自身原因不能履行采购合同或放弃成交的，采购人可以与排在成交供应商之后第一位的成交候选人签订采购合同，以此类推。</w:t>
      </w:r>
    </w:p>
    <w:p w14:paraId="433E0E87">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.3  采购人自政府采购合同签订之日起2个工作日内，将政府采购合同在省级以上人民政府财政部门指定的媒体上公告，但政府采购合同中涉及国家秘密、商业秘密的内容除外。</w:t>
      </w:r>
    </w:p>
    <w:p w14:paraId="27A10B31">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3</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8</w:t>
      </w:r>
      <w:r>
        <w:rPr>
          <w:rFonts w:hint="eastAsia" w:ascii="宋体" w:hAnsi="宋体" w:eastAsia="宋体" w:cs="宋体"/>
          <w:b/>
          <w:bCs/>
          <w:color w:val="000000" w:themeColor="text1"/>
          <w:kern w:val="0"/>
          <w:sz w:val="24"/>
          <w:highlight w:val="none"/>
          <w14:textFill>
            <w14:solidFill>
              <w14:schemeClr w14:val="tx1"/>
            </w14:solidFill>
          </w14:textFill>
        </w:rPr>
        <w:t>、合同实施</w:t>
      </w:r>
    </w:p>
    <w:p w14:paraId="0A5DDDF6">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.1  成交人应在合同签订后7个工作日内安排人员（项目组成人员简历表所列）与使用单位就送货</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调试、试运行</w:t>
      </w:r>
      <w:r>
        <w:rPr>
          <w:rFonts w:hint="eastAsia" w:ascii="宋体" w:hAnsi="宋体" w:eastAsia="宋体" w:cs="宋体"/>
          <w:color w:val="000000" w:themeColor="text1"/>
          <w:highlight w:val="none"/>
          <w14:textFill>
            <w14:solidFill>
              <w14:schemeClr w14:val="tx1"/>
            </w14:solidFill>
          </w14:textFill>
        </w:rPr>
        <w:t>等工作进行安排。</w:t>
      </w:r>
    </w:p>
    <w:p w14:paraId="570E6EDF">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.2  若未能在交货期内完成合同规定的义务，由此对采购人造成的延误和一切损失，由成交人承担和赔偿。</w:t>
      </w:r>
    </w:p>
    <w:p w14:paraId="08E9FC7E">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38.3  政府采购合同订立后，合同各方不得擅自变更、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15473760">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.4  政府采购合同履行中，采购人需追加与合同标的相同的货物的，在不改变合同其他条款的前提下，可以与供应商签订补充合同，但所补充合同的采购金额不得超过原合同采购金额的百分之十。签订补充合同的应按规定备案。</w:t>
      </w:r>
    </w:p>
    <w:p w14:paraId="027974AA">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lang w:val="en-US" w:eastAsia="zh-CN"/>
          <w14:textFill>
            <w14:solidFill>
              <w14:schemeClr w14:val="tx1"/>
            </w14:solidFill>
          </w14:textFill>
        </w:rPr>
        <w:t>39</w:t>
      </w:r>
      <w:r>
        <w:rPr>
          <w:rFonts w:hint="eastAsia" w:ascii="宋体" w:hAnsi="宋体" w:eastAsia="宋体" w:cs="宋体"/>
          <w:b/>
          <w:bCs/>
          <w:color w:val="000000" w:themeColor="text1"/>
          <w:kern w:val="0"/>
          <w:sz w:val="24"/>
          <w:highlight w:val="none"/>
          <w14:textFill>
            <w14:solidFill>
              <w14:schemeClr w14:val="tx1"/>
            </w14:solidFill>
          </w14:textFill>
        </w:rPr>
        <w:t>、转包与分包</w:t>
      </w:r>
    </w:p>
    <w:p w14:paraId="4DECB34E">
      <w:pPr>
        <w:keepNext w:val="0"/>
        <w:keepLines w:val="0"/>
        <w:pageBreakBefore w:val="0"/>
        <w:widowControl w:val="0"/>
        <w:kinsoku/>
        <w:wordWrap/>
        <w:overflowPunct w:val="0"/>
        <w:topLinePunct w:val="0"/>
        <w:autoSpaceDE w:val="0"/>
        <w:autoSpaceDN w:val="0"/>
        <w:bidi w:val="0"/>
        <w:adjustRightInd w:val="0"/>
        <w:snapToGrid/>
        <w:spacing w:line="500" w:lineRule="exact"/>
        <w:ind w:left="0" w:leftChars="0" w:right="6" w:rightChars="0" w:firstLine="0" w:firstLineChars="0"/>
        <w:jc w:val="both"/>
        <w:textAlignment w:val="auto"/>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39</w:t>
      </w:r>
      <w:r>
        <w:rPr>
          <w:rFonts w:hint="eastAsia" w:ascii="宋体" w:hAnsi="宋体" w:eastAsia="宋体" w:cs="宋体"/>
          <w:color w:val="000000" w:themeColor="text1"/>
          <w:highlight w:val="none"/>
          <w14:textFill>
            <w14:solidFill>
              <w14:schemeClr w14:val="tx1"/>
            </w14:solidFill>
          </w14:textFill>
        </w:rPr>
        <w:t xml:space="preserve">.1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本项目不允许采取转包</w:t>
      </w:r>
      <w:r>
        <w:rPr>
          <w:rFonts w:hint="eastAsia" w:ascii="宋体" w:hAnsi="宋体" w:eastAsia="宋体" w:cs="宋体"/>
          <w:color w:val="000000" w:themeColor="text1"/>
          <w:highlight w:val="none"/>
          <w:lang w:val="en-US" w:eastAsia="zh-CN"/>
          <w14:textFill>
            <w14:solidFill>
              <w14:schemeClr w14:val="tx1"/>
            </w14:solidFill>
          </w14:textFill>
        </w:rPr>
        <w:t>与分包</w:t>
      </w:r>
      <w:r>
        <w:rPr>
          <w:rFonts w:hint="eastAsia" w:ascii="宋体" w:hAnsi="宋体" w:eastAsia="宋体" w:cs="宋体"/>
          <w:color w:val="000000" w:themeColor="text1"/>
          <w:highlight w:val="none"/>
          <w14:textFill>
            <w14:solidFill>
              <w14:schemeClr w14:val="tx1"/>
            </w14:solidFill>
          </w14:textFill>
        </w:rPr>
        <w:t>方式履行合同</w:t>
      </w:r>
      <w:r>
        <w:rPr>
          <w:rFonts w:hint="eastAsia" w:ascii="宋体" w:hAnsi="宋体" w:eastAsia="宋体" w:cs="宋体"/>
          <w:color w:val="000000" w:themeColor="text1"/>
          <w:highlight w:val="none"/>
          <w14:textFill>
            <w14:solidFill>
              <w14:schemeClr w14:val="tx1"/>
            </w14:solidFill>
          </w14:textFill>
        </w:rPr>
        <w:t>。</w:t>
      </w:r>
    </w:p>
    <w:p w14:paraId="5CA323B8">
      <w:pPr>
        <w:keepNext w:val="0"/>
        <w:keepLines w:val="0"/>
        <w:pageBreakBefore w:val="0"/>
        <w:widowControl w:val="0"/>
        <w:kinsoku/>
        <w:wordWrap/>
        <w:overflowPunct w:val="0"/>
        <w:topLinePunct w:val="0"/>
        <w:autoSpaceDE w:val="0"/>
        <w:autoSpaceDN w:val="0"/>
        <w:bidi w:val="0"/>
        <w:adjustRightInd w:val="0"/>
        <w:snapToGrid/>
        <w:spacing w:line="500" w:lineRule="exact"/>
        <w:ind w:left="0" w:leftChars="0" w:right="6" w:rightChars="0" w:firstLine="0" w:firstLineChars="0"/>
        <w:jc w:val="center"/>
        <w:textAlignment w:val="auto"/>
        <w:outlineLvl w:val="2"/>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十、其他</w:t>
      </w:r>
    </w:p>
    <w:p w14:paraId="44815948">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b/>
          <w:bCs/>
          <w:color w:val="000000" w:themeColor="text1"/>
          <w:kern w:val="0"/>
          <w:sz w:val="24"/>
          <w:highlight w:val="none"/>
          <w:lang w:eastAsia="zh-CN"/>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4</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0</w:t>
      </w:r>
      <w:r>
        <w:rPr>
          <w:rFonts w:hint="eastAsia" w:ascii="宋体" w:hAnsi="宋体" w:eastAsia="宋体" w:cs="宋体"/>
          <w:b/>
          <w:bCs/>
          <w:color w:val="000000" w:themeColor="text1"/>
          <w:kern w:val="0"/>
          <w:sz w:val="24"/>
          <w:highlight w:val="none"/>
          <w14:textFill>
            <w14:solidFill>
              <w14:schemeClr w14:val="tx1"/>
            </w14:solidFill>
          </w14:textFill>
        </w:rPr>
        <w:t>、采购代理服务费</w:t>
      </w:r>
      <w:r>
        <w:rPr>
          <w:rFonts w:hint="eastAsia" w:ascii="宋体" w:hAnsi="宋体" w:cs="宋体"/>
          <w:b/>
          <w:bCs/>
          <w:color w:val="000000" w:themeColor="text1"/>
          <w:kern w:val="0"/>
          <w:sz w:val="24"/>
          <w:highlight w:val="none"/>
          <w:lang w:eastAsia="zh-CN"/>
          <w14:textFill>
            <w14:solidFill>
              <w14:schemeClr w14:val="tx1"/>
            </w14:solidFill>
          </w14:textFill>
        </w:rPr>
        <w:t>（</w:t>
      </w:r>
      <w:r>
        <w:rPr>
          <w:rFonts w:hint="eastAsia" w:ascii="宋体" w:hAnsi="宋体" w:cs="宋体"/>
          <w:b/>
          <w:bCs/>
          <w:color w:val="000000" w:themeColor="text1"/>
          <w:kern w:val="0"/>
          <w:sz w:val="24"/>
          <w:highlight w:val="none"/>
          <w:lang w:val="en-US" w:eastAsia="zh-CN"/>
          <w14:textFill>
            <w14:solidFill>
              <w14:schemeClr w14:val="tx1"/>
            </w14:solidFill>
          </w14:textFill>
        </w:rPr>
        <w:t>详见供应商须知前附表</w:t>
      </w:r>
      <w:r>
        <w:rPr>
          <w:rFonts w:hint="eastAsia" w:ascii="宋体" w:hAnsi="宋体" w:cs="宋体"/>
          <w:b/>
          <w:bCs/>
          <w:color w:val="000000" w:themeColor="text1"/>
          <w:kern w:val="0"/>
          <w:sz w:val="24"/>
          <w:highlight w:val="none"/>
          <w:lang w:eastAsia="zh-CN"/>
          <w14:textFill>
            <w14:solidFill>
              <w14:schemeClr w14:val="tx1"/>
            </w14:solidFill>
          </w14:textFill>
        </w:rPr>
        <w:t>）</w:t>
      </w:r>
    </w:p>
    <w:p w14:paraId="75AF9AB3">
      <w:pPr>
        <w:keepLines w:val="0"/>
        <w:pageBreakBefore w:val="0"/>
        <w:overflowPunct w:val="0"/>
        <w:topLinePunct w:val="0"/>
        <w:autoSpaceDE w:val="0"/>
        <w:autoSpaceDN w:val="0"/>
        <w:bidi w:val="0"/>
        <w:adjustRightInd w:val="0"/>
        <w:spacing w:line="500" w:lineRule="exact"/>
        <w:ind w:right="6"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.1采购代理服务费的交纳方式：</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在领取《成交通知书》</w:t>
      </w:r>
      <w:r>
        <w:rPr>
          <w:rFonts w:hint="eastAsia" w:ascii="宋体" w:hAnsi="宋体" w:eastAsia="宋体" w:cs="宋体"/>
          <w:color w:val="000000" w:themeColor="text1"/>
          <w:highlight w:val="none"/>
          <w:lang w:val="en-US" w:eastAsia="zh-CN"/>
          <w14:textFill>
            <w14:solidFill>
              <w14:schemeClr w14:val="tx1"/>
            </w14:solidFill>
          </w14:textFill>
        </w:rPr>
        <w:t>时</w:t>
      </w:r>
      <w:r>
        <w:rPr>
          <w:rFonts w:hint="eastAsia" w:ascii="宋体" w:hAnsi="宋体" w:eastAsia="宋体" w:cs="宋体"/>
          <w:color w:val="000000" w:themeColor="text1"/>
          <w:highlight w:val="none"/>
          <w14:textFill>
            <w14:solidFill>
              <w14:schemeClr w14:val="tx1"/>
            </w14:solidFill>
          </w14:textFill>
        </w:rPr>
        <w:t>，须向采购代理机构交纳采购代理服务费，采用现金、银行转账方式一次性交纳。</w:t>
      </w:r>
    </w:p>
    <w:p w14:paraId="14BD20F2">
      <w:pPr>
        <w:keepLines w:val="0"/>
        <w:pageBreakBefore w:val="0"/>
        <w:overflowPunct w:val="0"/>
        <w:topLinePunct w:val="0"/>
        <w:bidi w:val="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w:t>
      </w:r>
      <w:r>
        <w:rPr>
          <w:rFonts w:hint="eastAsia" w:ascii="宋体" w:hAnsi="宋体" w:eastAsia="宋体" w:cs="宋体"/>
          <w:color w:val="000000" w:themeColor="text1"/>
          <w:highlight w:val="none"/>
          <w:lang w:val="en-US" w:eastAsia="zh-CN"/>
          <w14:textFill>
            <w14:solidFill>
              <w14:schemeClr w14:val="tx1"/>
            </w14:solidFill>
          </w14:textFill>
        </w:rPr>
        <w:t>0</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招标代理服务费依据《关于进一步放开建设项目专业服务价格的通知》发改价格〔2015〕299号文的规定。</w:t>
      </w:r>
    </w:p>
    <w:p w14:paraId="4099C4CE">
      <w:pPr>
        <w:keepLines w:val="0"/>
        <w:pageBreakBefore w:val="0"/>
        <w:overflowPunct w:val="0"/>
        <w:topLinePunct w:val="0"/>
        <w:autoSpaceDE w:val="0"/>
        <w:autoSpaceDN w:val="0"/>
        <w:bidi w:val="0"/>
        <w:adjustRightInd w:val="0"/>
        <w:spacing w:line="500" w:lineRule="exact"/>
        <w:ind w:right="6" w:rightChars="0"/>
        <w:outlineLvl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4</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1</w:t>
      </w:r>
      <w:r>
        <w:rPr>
          <w:rFonts w:hint="eastAsia" w:ascii="宋体" w:hAnsi="宋体" w:eastAsia="宋体" w:cs="宋体"/>
          <w:b/>
          <w:bCs/>
          <w:color w:val="000000" w:themeColor="text1"/>
          <w:kern w:val="0"/>
          <w:sz w:val="24"/>
          <w:highlight w:val="none"/>
          <w14:textFill>
            <w14:solidFill>
              <w14:schemeClr w14:val="tx1"/>
            </w14:solidFill>
          </w14:textFill>
        </w:rPr>
        <w:t>、重新采购或者变更采购方式</w:t>
      </w:r>
    </w:p>
    <w:p w14:paraId="7A0C54C2">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 xml:space="preserve"> 谈判会议开始后，出现下列情形之一的，采购代理机构将终止采购活动，发布项目终止公告并说明原因，重新开展采购活动：</w:t>
      </w:r>
    </w:p>
    <w:p w14:paraId="11CCA628">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（1）因情况变化，不再符合规定的竞争性谈判采购方式适用情形的；</w:t>
      </w:r>
    </w:p>
    <w:p w14:paraId="565E8C0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（2）出现影响采购公正的违法、违规行为的；</w:t>
      </w:r>
    </w:p>
    <w:p w14:paraId="1FF68AF3">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（3）在采购过程中符合竞争要求的供应商不足3家的；</w:t>
      </w:r>
    </w:p>
    <w:p w14:paraId="1A0A6404">
      <w:pPr>
        <w:keepLines w:val="0"/>
        <w:pageBreakBefore w:val="0"/>
        <w:overflowPunct w:val="0"/>
        <w:topLinePunct w:val="0"/>
        <w:autoSpaceDE w:val="0"/>
        <w:autoSpaceDN w:val="0"/>
        <w:bidi w:val="0"/>
        <w:adjustRightInd w:val="0"/>
        <w:spacing w:line="50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（4）报价未超过采购预算的供应商不足3家的。</w:t>
      </w:r>
    </w:p>
    <w:p w14:paraId="25FE71AA">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  评审过程中，提交最后报价的供应商为1家时，可以继续进行谈判的情形：</w:t>
      </w:r>
    </w:p>
    <w:p w14:paraId="4E64E01C">
      <w:pPr>
        <w:keepLines w:val="0"/>
        <w:pageBreakBefore w:val="0"/>
        <w:overflowPunct w:val="0"/>
        <w:topLinePunct w:val="0"/>
        <w:autoSpaceDE w:val="0"/>
        <w:autoSpaceDN w:val="0"/>
        <w:bidi w:val="0"/>
        <w:adjustRightInd w:val="0"/>
        <w:spacing w:before="65" w:line="440" w:lineRule="exact"/>
        <w:ind w:left="119"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依据陕财办采资〔2018〕26号文件的规定，采用竞争性谈判采购方式的货物、服务项目，参加采购活动或符合采购需求的供应商只有一家，经谈判小组审核竞争性谈判文件没有倾向性、歧视性条款，采购人不改变采购需求，且同意转为单一来源采购方式，可以采用单一来源方式采购，不再进行公示。 </w:t>
      </w:r>
    </w:p>
    <w:p w14:paraId="36F6FA62">
      <w:pPr>
        <w:keepLines w:val="0"/>
        <w:pageBreakBefore w:val="0"/>
        <w:overflowPunct w:val="0"/>
        <w:topLinePunct w:val="0"/>
        <w:autoSpaceDE w:val="0"/>
        <w:autoSpaceDN w:val="0"/>
        <w:bidi w:val="0"/>
        <w:adjustRightInd w:val="0"/>
        <w:spacing w:before="65" w:line="440" w:lineRule="exact"/>
        <w:ind w:left="119"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转变为单一来源采购方式后，实行二轮报价，第一次报价（含转变单一来源前的报价）后，二轮报价为最终报价。如采购需求没有实质性变化，供应商报价应逐次降低，本次报价超过上次报价为无效报价，出现相同报价的，可再次报价。</w:t>
      </w:r>
    </w:p>
    <w:p w14:paraId="71F2A3AB">
      <w:pPr>
        <w:keepLines w:val="0"/>
        <w:pageBreakBefore w:val="0"/>
        <w:overflowPunct w:val="0"/>
        <w:topLinePunct w:val="0"/>
        <w:autoSpaceDE w:val="0"/>
        <w:autoSpaceDN w:val="0"/>
        <w:bidi w:val="0"/>
        <w:adjustRightInd w:val="0"/>
        <w:spacing w:line="440" w:lineRule="exact"/>
        <w:ind w:right="6" w:rightChars="0"/>
        <w:outlineLvl w:val="3"/>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4</w:t>
      </w:r>
      <w:r>
        <w:rPr>
          <w:rFonts w:hint="eastAsia" w:ascii="宋体" w:hAnsi="宋体" w:eastAsia="宋体" w:cs="宋体"/>
          <w:b/>
          <w:bCs/>
          <w:color w:val="000000" w:themeColor="text1"/>
          <w:kern w:val="0"/>
          <w:sz w:val="24"/>
          <w:highlight w:val="none"/>
          <w:lang w:val="en-US" w:eastAsia="zh-CN"/>
          <w14:textFill>
            <w14:solidFill>
              <w14:schemeClr w14:val="tx1"/>
            </w14:solidFill>
          </w14:textFill>
        </w:rPr>
        <w:t>2</w:t>
      </w:r>
      <w:r>
        <w:rPr>
          <w:rFonts w:hint="eastAsia" w:ascii="宋体" w:hAnsi="宋体" w:eastAsia="宋体" w:cs="宋体"/>
          <w:b/>
          <w:bCs/>
          <w:color w:val="000000" w:themeColor="text1"/>
          <w:kern w:val="0"/>
          <w:sz w:val="24"/>
          <w:highlight w:val="none"/>
          <w14:textFill>
            <w14:solidFill>
              <w14:schemeClr w14:val="tx1"/>
            </w14:solidFill>
          </w14:textFill>
        </w:rPr>
        <w:t xml:space="preserve">、质疑和投诉 </w:t>
      </w:r>
    </w:p>
    <w:p w14:paraId="7776CA05">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.1质疑。供应商认为采购文件、采购过程和中标、成交结果使自己的权益受到损害的， 可以在知道或者应知其权益受到损害之日起七个工作日内，以书面形式一次性向采购人提出质疑。采购人委托采购代理机构采购的，供应商可以向采购代理机构提出询问或者质疑。 </w:t>
      </w:r>
    </w:p>
    <w:p w14:paraId="6D73C124">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质疑函接收人：</w:t>
      </w:r>
      <w:r>
        <w:rPr>
          <w:rFonts w:hint="eastAsia" w:ascii="宋体" w:hAnsi="宋体" w:eastAsia="宋体" w:cs="宋体"/>
          <w:color w:val="000000" w:themeColor="text1"/>
          <w:highlight w:val="none"/>
          <w:lang w:val="en-US" w:eastAsia="zh-CN"/>
          <w14:textFill>
            <w14:solidFill>
              <w14:schemeClr w14:val="tx1"/>
            </w14:solidFill>
          </w14:textFill>
        </w:rPr>
        <w:t>唐明明</w:t>
      </w:r>
      <w:r>
        <w:rPr>
          <w:rFonts w:hint="eastAsia" w:ascii="宋体" w:hAnsi="宋体" w:eastAsia="宋体" w:cs="宋体"/>
          <w:color w:val="000000" w:themeColor="text1"/>
          <w:highlight w:val="none"/>
          <w14:textFill>
            <w14:solidFill>
              <w14:schemeClr w14:val="tx1"/>
            </w14:solidFill>
          </w14:textFill>
        </w:rPr>
        <w:t xml:space="preserve"> </w:t>
      </w:r>
    </w:p>
    <w:p w14:paraId="7F4B0640">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电话：</w:t>
      </w:r>
      <w:r>
        <w:rPr>
          <w:rFonts w:hint="eastAsia" w:ascii="宋体" w:hAnsi="宋体" w:eastAsia="宋体" w:cs="宋体"/>
          <w:color w:val="000000" w:themeColor="text1"/>
          <w:highlight w:val="none"/>
          <w:lang w:eastAsia="zh-CN"/>
          <w14:textFill>
            <w14:solidFill>
              <w14:schemeClr w14:val="tx1"/>
            </w14:solidFill>
          </w14:textFill>
        </w:rPr>
        <w:t>0915-3197229</w:t>
      </w:r>
      <w:r>
        <w:rPr>
          <w:rFonts w:hint="eastAsia" w:ascii="宋体" w:hAnsi="宋体" w:eastAsia="宋体" w:cs="宋体"/>
          <w:color w:val="000000" w:themeColor="text1"/>
          <w:highlight w:val="none"/>
          <w14:textFill>
            <w14:solidFill>
              <w14:schemeClr w14:val="tx1"/>
            </w14:solidFill>
          </w14:textFill>
        </w:rPr>
        <w:t xml:space="preserve"> </w:t>
      </w:r>
    </w:p>
    <w:p w14:paraId="11F3A2C1">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地址：</w:t>
      </w:r>
      <w:r>
        <w:rPr>
          <w:rFonts w:hint="eastAsia" w:ascii="宋体" w:hAnsi="宋体" w:eastAsia="宋体" w:cs="宋体"/>
          <w:color w:val="000000" w:themeColor="text1"/>
          <w:highlight w:val="none"/>
          <w:lang w:eastAsia="zh-CN"/>
          <w14:textFill>
            <w14:solidFill>
              <w14:schemeClr w14:val="tx1"/>
            </w14:solidFill>
          </w14:textFill>
        </w:rPr>
        <w:t>安康市汉滨区大桥南路1号御公馆小区2号楼2单元1001室</w:t>
      </w:r>
    </w:p>
    <w:p w14:paraId="571E9F1A">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采购人或者采购代理机构应当在 3 个工作日内对供应商依法提出的询问作出答复。 供应商应知其权益受到损害之日，是指： </w:t>
      </w:r>
    </w:p>
    <w:p w14:paraId="237B5942">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（1）对可以质疑的采购文件提出质疑的，为收到采购文件之日或者采购文件公告期限届满之 </w:t>
      </w:r>
    </w:p>
    <w:p w14:paraId="37E93994">
      <w:pPr>
        <w:keepLines w:val="0"/>
        <w:pageBreakBefore w:val="0"/>
        <w:overflowPunct w:val="0"/>
        <w:topLinePunct w:val="0"/>
        <w:autoSpaceDE w:val="0"/>
        <w:autoSpaceDN w:val="0"/>
        <w:bidi w:val="0"/>
        <w:adjustRightInd w:val="0"/>
        <w:spacing w:line="440" w:lineRule="exact"/>
        <w:ind w:right="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w:t>
      </w:r>
    </w:p>
    <w:p w14:paraId="0FF8E807">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（2）对采购过程提出质疑的，为各采购程序环节结束之日； </w:t>
      </w:r>
    </w:p>
    <w:p w14:paraId="0A0B7602">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（3）对中标或者成交结果提出质疑的，为中标或者成交结果公告期限届满之日。 </w:t>
      </w:r>
    </w:p>
    <w:p w14:paraId="64734DD1">
      <w:pPr>
        <w:keepLines w:val="0"/>
        <w:pageBreakBefore w:val="0"/>
        <w:overflowPunct w:val="0"/>
        <w:topLinePunct w:val="0"/>
        <w:autoSpaceDE w:val="0"/>
        <w:autoSpaceDN w:val="0"/>
        <w:bidi w:val="0"/>
        <w:adjustRightInd w:val="0"/>
        <w:spacing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 xml:space="preserve">2 投诉。质疑供应商对采购人、采购代理机构的答复不满意或者采购人、采购代理机构未在规定的时间内作出答复的，可以在答复期满后十五个工作日内向同级政府采购监督管理部门投诉。政府采购监督管理部门应当在收到投诉后三十个工作日内，对投诉事项作出处理决定，并以书面形式通知投诉人和与投诉事项有关的当事人。 </w:t>
      </w:r>
    </w:p>
    <w:p w14:paraId="050780FD">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.3 供应商质疑、投诉应当有明确的请求和必要的证明材料。供应商投诉的事项不得超出已质疑事项的范围。</w:t>
      </w:r>
    </w:p>
    <w:p w14:paraId="7E2CB800">
      <w:pPr>
        <w:keepNext w:val="0"/>
        <w:keepLines w:val="0"/>
        <w:pageBreakBefore w:val="0"/>
        <w:widowControl w:val="0"/>
        <w:kinsoku/>
        <w:wordWrap/>
        <w:overflowPunct w:val="0"/>
        <w:topLinePunct w:val="0"/>
        <w:autoSpaceDE w:val="0"/>
        <w:autoSpaceDN w:val="0"/>
        <w:bidi w:val="0"/>
        <w:adjustRightInd w:val="0"/>
        <w:snapToGrid/>
        <w:spacing w:line="500" w:lineRule="exact"/>
        <w:ind w:left="0" w:leftChars="0" w:right="6" w:rightChars="0" w:firstLine="0" w:firstLineChars="0"/>
        <w:jc w:val="center"/>
        <w:textAlignment w:val="auto"/>
        <w:outlineLvl w:val="2"/>
        <w:rPr>
          <w:rFonts w:hint="eastAsia" w:ascii="宋体" w:hAnsi="宋体" w:cs="宋体"/>
          <w:b/>
          <w:bCs/>
          <w:color w:val="000000" w:themeColor="text1"/>
          <w:sz w:val="28"/>
          <w:highlight w:val="none"/>
          <w:lang w:val="en-US" w:eastAsia="zh-CN"/>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十</w:t>
      </w:r>
      <w:r>
        <w:rPr>
          <w:rFonts w:hint="eastAsia" w:ascii="宋体" w:hAnsi="宋体" w:cs="宋体"/>
          <w:b/>
          <w:bCs/>
          <w:color w:val="000000" w:themeColor="text1"/>
          <w:sz w:val="28"/>
          <w:highlight w:val="none"/>
          <w:lang w:val="en-US" w:eastAsia="zh-CN"/>
          <w14:textFill>
            <w14:solidFill>
              <w14:schemeClr w14:val="tx1"/>
            </w14:solidFill>
          </w14:textFill>
        </w:rPr>
        <w:t>一</w:t>
      </w:r>
      <w:r>
        <w:rPr>
          <w:rFonts w:hint="eastAsia" w:ascii="宋体" w:hAnsi="宋体" w:eastAsia="宋体" w:cs="宋体"/>
          <w:b/>
          <w:bCs/>
          <w:color w:val="000000" w:themeColor="text1"/>
          <w:sz w:val="28"/>
          <w:highlight w:val="none"/>
          <w14:textFill>
            <w14:solidFill>
              <w14:schemeClr w14:val="tx1"/>
            </w14:solidFill>
          </w14:textFill>
        </w:rPr>
        <w:t>、</w:t>
      </w:r>
      <w:r>
        <w:rPr>
          <w:rFonts w:hint="eastAsia" w:ascii="宋体" w:hAnsi="宋体" w:cs="宋体"/>
          <w:b/>
          <w:bCs/>
          <w:color w:val="000000" w:themeColor="text1"/>
          <w:sz w:val="28"/>
          <w:highlight w:val="none"/>
          <w:lang w:val="en-US" w:eastAsia="zh-CN"/>
          <w14:textFill>
            <w14:solidFill>
              <w14:schemeClr w14:val="tx1"/>
            </w14:solidFill>
          </w14:textFill>
        </w:rPr>
        <w:t>异常低价的认定</w:t>
      </w:r>
    </w:p>
    <w:p w14:paraId="402A4D2B">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43 评审中出现下列情形之一的，评标委员会应当启动异常低价投标审查程序： </w:t>
      </w:r>
    </w:p>
    <w:p w14:paraId="46F52456">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（1）投标报价低于全部通过符合性审查供应商投标报价平均值 50%的，即投标报价〈全部通过符合性审查供应商投标报价平均值×50%； </w:t>
      </w:r>
    </w:p>
    <w:p w14:paraId="4DE85C68">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（2）投标报价低于通过符合性审查的次低报价供应商投标报价50%的，即投标报价〈通过符合性审查的次低报价供应商投标报价×50%； </w:t>
      </w:r>
    </w:p>
    <w:p w14:paraId="42D4ADAE">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（3）投标报价低于采购项目最高限价 50%的，即投标报价〈采购项目最高限价×50%； </w:t>
      </w:r>
    </w:p>
    <w:p w14:paraId="295405CF">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评审委员会基于专业判断，认为供应商报价过低，有可能影响产品质量或者不能诚信履约的其他情形评审委员会可根据项目具体情况、市场行情、供应商过往履约记录等综合判断，若认为报价过低可能导致产品质量问题或无法诚信履约，也可启动异常低价审查。 </w:t>
      </w:r>
    </w:p>
    <w:p w14:paraId="685BB3C6">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评标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一般不少于 30 分钟。其中，属于第（3）项情形，供应商已随投标文件一并提交相关书面说明及必要的证明材料的，在评审现场可不再重复提交。 </w:t>
      </w:r>
    </w:p>
    <w:p w14:paraId="53665154">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评标委员会依据专业经验，参考同类项目中标（成交）价格、类似产品及工程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w:t>
      </w:r>
    </w:p>
    <w:p w14:paraId="6A9DA90B">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采购人、采购代理机构应当为评标委员会在评审现场及时获取同类项目中标（成交）价格、类似产品及工程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p>
    <w:p w14:paraId="6221DAF4">
      <w:pPr>
        <w:keepLines w:val="0"/>
        <w:pageBreakBefore w:val="0"/>
        <w:overflowPunct w:val="0"/>
        <w:topLinePunct w:val="0"/>
        <w:autoSpaceDE w:val="0"/>
        <w:autoSpaceDN w:val="0"/>
        <w:bidi w:val="0"/>
        <w:adjustRightInd w:val="0"/>
        <w:spacing w:before="65" w:line="440" w:lineRule="exact"/>
        <w:ind w:right="6"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异常低价投标审查的启动原因、审查意见和审查结果应当在评审报告中记录，并随供应商提供的相关书面说明及证明材料，以及评标委员会有关互联网浏览、查询历史一并归档。</w:t>
      </w:r>
    </w:p>
    <w:p w14:paraId="1F6AF5B3">
      <w:pPr>
        <w:pStyle w:val="10"/>
        <w:jc w:val="both"/>
        <w:rPr>
          <w:rFonts w:hint="default"/>
          <w:color w:val="000000" w:themeColor="text1"/>
          <w:lang w:val="en-US" w:eastAsia="zh-CN"/>
          <w14:textFill>
            <w14:solidFill>
              <w14:schemeClr w14:val="tx1"/>
            </w14:solidFill>
          </w14:textFill>
        </w:rPr>
      </w:pPr>
    </w:p>
    <w:p w14:paraId="0EFC6A40">
      <w:pPr>
        <w:pStyle w:val="10"/>
        <w:rPr>
          <w:rFonts w:hint="eastAsia"/>
          <w:color w:val="000000" w:themeColor="text1"/>
          <w14:textFill>
            <w14:solidFill>
              <w14:schemeClr w14:val="tx1"/>
            </w14:solidFill>
          </w14:textFill>
        </w:rPr>
      </w:pPr>
    </w:p>
    <w:p w14:paraId="7F1CD864">
      <w:pPr>
        <w:pStyle w:val="3"/>
        <w:numPr>
          <w:ilvl w:val="0"/>
          <w:numId w:val="0"/>
        </w:numPr>
        <w:tabs>
          <w:tab w:val="clear" w:pos="324"/>
        </w:tabs>
        <w:bidi w:val="0"/>
        <w:ind w:leftChars="0"/>
        <w:rPr>
          <w:rFonts w:hint="eastAsia" w:hAnsi="Times New Roman" w:cs="Times New Roman"/>
          <w:color w:val="000000" w:themeColor="text1"/>
          <w:highlight w:val="none"/>
          <w14:textFill>
            <w14:solidFill>
              <w14:schemeClr w14:val="tx1"/>
            </w14:solidFill>
          </w14:textFill>
        </w:rPr>
      </w:pPr>
      <w:bookmarkStart w:id="16" w:name="_Toc24057"/>
      <w:bookmarkStart w:id="17" w:name="_Toc19369"/>
      <w:r>
        <w:rPr>
          <w:rFonts w:hint="eastAsia" w:hAnsi="Times New Roman" w:cs="Times New Roman"/>
          <w:color w:val="000000" w:themeColor="text1"/>
          <w:highlight w:val="none"/>
          <w14:textFill>
            <w14:solidFill>
              <w14:schemeClr w14:val="tx1"/>
            </w14:solidFill>
          </w14:textFill>
        </w:rPr>
        <w:t>第三章  评审办法</w:t>
      </w:r>
      <w:bookmarkEnd w:id="16"/>
      <w:bookmarkEnd w:id="17"/>
    </w:p>
    <w:p w14:paraId="057627EB">
      <w:pPr>
        <w:pStyle w:val="17"/>
        <w:keepNext w:val="0"/>
        <w:keepLines w:val="0"/>
        <w:widowControl/>
        <w:suppressLineNumbers w:val="0"/>
        <w:shd w:val="clear" w:fill="FFFFFF"/>
        <w:spacing w:line="360" w:lineRule="auto"/>
        <w:ind w:left="0" w:firstLine="0"/>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bookmarkStart w:id="18" w:name="_Toc222740127"/>
      <w:r>
        <w:rPr>
          <w:rFonts w:hint="eastAsia" w:cs="宋体"/>
          <w:color w:val="000000" w:themeColor="text1"/>
          <w:kern w:val="2"/>
          <w:sz w:val="21"/>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t xml:space="preserve">  根据《中华人民共和国政府采购法》（中华人民共和国主席令第68号）、《中华人民共和国政府采购法实施条例》（中华人民共和国国务院令2015年第658号）及《政府采购非招标采购方式管理办法》（中华人民共和国财政部令第74号）等法律法规规定，结合采购项目特点制定本评审办法。</w:t>
      </w:r>
    </w:p>
    <w:p w14:paraId="39AC3439">
      <w:pPr>
        <w:keepLines w:val="0"/>
        <w:pageBreakBefore w:val="0"/>
        <w:overflowPunct w:val="0"/>
        <w:topLinePunct w:val="0"/>
        <w:bidi w:val="0"/>
        <w:spacing w:before="240" w:after="120"/>
        <w:jc w:val="left"/>
        <w:outlineLvl w:val="1"/>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1、评审程序</w:t>
      </w:r>
    </w:p>
    <w:p w14:paraId="6D7EEE63">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1.1  本采购项目评审按照下列工作程序进行：</w:t>
      </w:r>
    </w:p>
    <w:p w14:paraId="7F493EA6">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1.1.1 谈判响应文件初审；</w:t>
      </w:r>
    </w:p>
    <w:p w14:paraId="0CC35374">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1.1.2 澄清有关问题；</w:t>
      </w:r>
    </w:p>
    <w:p w14:paraId="0836A41D">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1.1.3 谈判；</w:t>
      </w:r>
    </w:p>
    <w:p w14:paraId="36B632CF">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1.1.4 推荐成交供应商名单；</w:t>
      </w:r>
    </w:p>
    <w:p w14:paraId="1FDEBE11">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1.1.5 编写评审报告。</w:t>
      </w:r>
    </w:p>
    <w:p w14:paraId="48860B7D">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1.2  谈判响应文件的初审</w:t>
      </w:r>
    </w:p>
    <w:p w14:paraId="7F63081C">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初审分为资格性检查和符合性检查。分别按照以下内容对谈判响应文件进行检查，一项不合格即按照无效响应处理。</w:t>
      </w:r>
    </w:p>
    <w:p w14:paraId="272990C9">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响应文件初审合格的为实质性响应谈判文件要求的供应商。</w:t>
      </w:r>
    </w:p>
    <w:p w14:paraId="33FF083B">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1.2.1 谈判响应文件的资格性审查：</w:t>
      </w:r>
      <w:r>
        <w:rPr>
          <w:rFonts w:hint="eastAsia" w:ascii="宋体" w:hAnsi="宋体" w:eastAsia="宋体" w:cs="宋体"/>
          <w:color w:val="000000" w:themeColor="text1"/>
          <w:szCs w:val="21"/>
          <w:highlight w:val="none"/>
          <w14:textFill>
            <w14:solidFill>
              <w14:schemeClr w14:val="tx1"/>
            </w14:solidFill>
          </w14:textFill>
        </w:rPr>
        <w:t>按照本章附件一资格审查内容；</w:t>
      </w:r>
    </w:p>
    <w:p w14:paraId="7B4C9288">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1.2.2 谈判响应文件的符合性审查：按照本章附件二符合审查内容；</w:t>
      </w:r>
    </w:p>
    <w:p w14:paraId="2CA068E2">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1.2.2.1 谈判响应文件的有效性审查。</w:t>
      </w:r>
    </w:p>
    <w:p w14:paraId="00140660">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（1）谈判响应文件的签署、加盖印章是否合格、有效；提供的各种证明文件、数据、资料是否真实、有效；</w:t>
      </w:r>
    </w:p>
    <w:p w14:paraId="374D1EE2">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（2）代理商</w:t>
      </w:r>
      <w:r>
        <w:rPr>
          <w:rFonts w:hint="eastAsia" w:ascii="宋体" w:hAnsi="宋体" w:eastAsia="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时，是否提交了合格有效的货物制造厂商出具的正式授权或其他证明资料；</w:t>
      </w:r>
    </w:p>
    <w:p w14:paraId="75508104">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（3）是否提交了合格有效的本次采购特别要求的货物合格性证明文件。</w:t>
      </w:r>
    </w:p>
    <w:p w14:paraId="2D7EA2D6">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1.2.2.2 谈判响应文件的实质响应性审查。</w:t>
      </w:r>
    </w:p>
    <w:p w14:paraId="3340B1DD">
      <w:pPr>
        <w:keepLines w:val="0"/>
        <w:pageBreakBefore w:val="0"/>
        <w:numPr>
          <w:ilvl w:val="0"/>
          <w:numId w:val="5"/>
        </w:numPr>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谈判报价是否未超过采购预算；</w:t>
      </w:r>
    </w:p>
    <w:p w14:paraId="27B02B5C">
      <w:pPr>
        <w:keepLines w:val="0"/>
        <w:pageBreakBefore w:val="0"/>
        <w:numPr>
          <w:ilvl w:val="0"/>
          <w:numId w:val="5"/>
        </w:numPr>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谈判报价是否与市场价偏离较大，低于成本，涉嫌不正当竞争；（如果谈判小组认为最低的谈判报价明显不合理或者低于成本，应当要求其在规定期限内提供书面文件予以解释说明，并提交相关证明材料。）</w:t>
      </w:r>
    </w:p>
    <w:p w14:paraId="2EAA90B3">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（3）谈判有效期是否符合竞争性谈判文件的要求；</w:t>
      </w:r>
    </w:p>
    <w:p w14:paraId="4B111C23">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（4）谈判响应文件响应内容是否符合国家法律法规，是否实质性响应了竞争性谈判文件要求的全部条款、条件和规格要求，并且提供了支持文件。</w:t>
      </w:r>
    </w:p>
    <w:p w14:paraId="097CBF2E">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（5）付款条件和交货期是否满足要求，对谈判文件合同中规定的双方的权利和义务是否做出了实质性响应。</w:t>
      </w:r>
    </w:p>
    <w:p w14:paraId="46BC5003">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1.2.2.3</w:t>
      </w:r>
      <w:r>
        <w:rPr>
          <w:rFonts w:hint="eastAsia" w:ascii="宋体" w:hAnsi="宋体" w:eastAsia="宋体" w:cs="宋体"/>
          <w:color w:val="000000" w:themeColor="text1"/>
          <w:szCs w:val="21"/>
          <w:highlight w:val="none"/>
          <w14:textFill>
            <w14:solidFill>
              <w14:schemeClr w14:val="tx1"/>
            </w14:solidFill>
          </w14:textFill>
        </w:rPr>
        <w:t xml:space="preserve"> 提供相同品牌产品的不同供应商参加同一合同项下</w:t>
      </w:r>
      <w:r>
        <w:rPr>
          <w:rFonts w:hint="eastAsia" w:ascii="宋体" w:hAnsi="宋体" w:eastAsia="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的，以其中通过资格审查、符合性审查且报价最低的参加评审；其余的按照无效</w:t>
      </w:r>
      <w:r>
        <w:rPr>
          <w:rFonts w:hint="eastAsia" w:ascii="宋体" w:hAnsi="宋体" w:eastAsia="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响应文件处理。</w:t>
      </w:r>
    </w:p>
    <w:p w14:paraId="10AAFF62">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1.2.3 经过对供应商及谈判响应文件的资格性和符合性审查，出现下列情况者（但不限于），按无效谈判处理。</w:t>
      </w:r>
    </w:p>
    <w:p w14:paraId="43426BF9">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）谈判响应文件中未提交法定代表人授权书或授权书的合法性或有效性不符合竞争性谈判文件规定。授权代表本单位证明的有效性或符合性不符合要求的；</w:t>
      </w:r>
    </w:p>
    <w:p w14:paraId="300614EC">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）供应商资质的有效性或符合性不符合要求的；</w:t>
      </w:r>
    </w:p>
    <w:p w14:paraId="61400060">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）谈判响应文件的格式不符合竞争性谈判文件要求、关键内容字迹模糊、无法辨认的；</w:t>
      </w:r>
    </w:p>
    <w:p w14:paraId="1B172832">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）谈判响应文件未按竞争性谈判文件规定有效签字和盖章；</w:t>
      </w:r>
    </w:p>
    <w:p w14:paraId="44B033D1">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）无谈判有效期或有效期达不到竞争性谈判文件要求的；</w:t>
      </w:r>
    </w:p>
    <w:p w14:paraId="3A82B41C">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）谈判内容出现漏项或数量与要求不符，出现重大负偏差；</w:t>
      </w:r>
    </w:p>
    <w:p w14:paraId="68850A62">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14:textFill>
            <w14:solidFill>
              <w14:schemeClr w14:val="tx1"/>
            </w14:solidFill>
          </w14:textFill>
        </w:rPr>
        <w:t>）无谈判技术方案或谈判技术方案不符合要求；</w:t>
      </w:r>
    </w:p>
    <w:p w14:paraId="5FCFEC6A">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8</w:t>
      </w:r>
      <w:r>
        <w:rPr>
          <w:rFonts w:hint="eastAsia" w:ascii="宋体" w:hAnsi="宋体" w:eastAsia="宋体" w:cs="宋体"/>
          <w:color w:val="000000" w:themeColor="text1"/>
          <w:szCs w:val="21"/>
          <w:highlight w:val="none"/>
          <w14:textFill>
            <w14:solidFill>
              <w14:schemeClr w14:val="tx1"/>
            </w14:solidFill>
          </w14:textFill>
        </w:rPr>
        <w:t>）技术指标达不到竞争性谈判文件要求，降低了产品档次或影响产品性能、功能；</w:t>
      </w:r>
    </w:p>
    <w:p w14:paraId="35D4BE03">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9</w:t>
      </w:r>
      <w:r>
        <w:rPr>
          <w:rFonts w:hint="eastAsia" w:ascii="宋体" w:hAnsi="宋体" w:eastAsia="宋体" w:cs="宋体"/>
          <w:color w:val="000000" w:themeColor="text1"/>
          <w:szCs w:val="21"/>
          <w:highlight w:val="none"/>
          <w14:textFill>
            <w14:solidFill>
              <w14:schemeClr w14:val="tx1"/>
            </w14:solidFill>
          </w14:textFill>
        </w:rPr>
        <w:t>）谈判响应文件的合同主要条款响应与竞争性谈判文件要求不一致（交货、付款、验收、售后服务等项），附加了采购人难以接受的条件；</w:t>
      </w:r>
    </w:p>
    <w:p w14:paraId="0266C88D">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0</w:t>
      </w:r>
      <w:r>
        <w:rPr>
          <w:rFonts w:hint="eastAsia" w:ascii="宋体" w:hAnsi="宋体" w:eastAsia="宋体" w:cs="宋体"/>
          <w:color w:val="000000" w:themeColor="text1"/>
          <w:szCs w:val="21"/>
          <w:highlight w:val="none"/>
          <w14:textFill>
            <w14:solidFill>
              <w14:schemeClr w14:val="tx1"/>
            </w14:solidFill>
          </w14:textFill>
        </w:rPr>
        <w:t>）规定不接受选择方案和选择报价（包括交叉折扣）的，供应商提供了选择方案和/或选择报价（包括交叉折扣）；</w:t>
      </w:r>
    </w:p>
    <w:p w14:paraId="68CF5685">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）提供虚假证明，开具虚假资质，出现虚假应答，除按无效标处理外，还进行相应的处罚；</w:t>
      </w:r>
    </w:p>
    <w:p w14:paraId="3E94E1B6">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）供应商在境内参与政府采购活动中有违法违规行为的；</w:t>
      </w:r>
    </w:p>
    <w:p w14:paraId="01DE1137">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）谈判报价超出采购预算的；</w:t>
      </w:r>
    </w:p>
    <w:p w14:paraId="640199D4">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）其他法律法规规定的情况。</w:t>
      </w:r>
    </w:p>
    <w:p w14:paraId="10988B89">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1.2.4 在谈判响应文件初审过程中，如果出现谈判小组成员意见不一致的情况，按照少数服从多数的原则确定。</w:t>
      </w:r>
    </w:p>
    <w:p w14:paraId="3080DBEA">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1.3  谈判响应文件的澄清</w:t>
      </w:r>
    </w:p>
    <w:p w14:paraId="0D32D0D8">
      <w:pPr>
        <w:keepLines w:val="0"/>
        <w:pageBreakBefore w:val="0"/>
        <w:overflowPunct w:val="0"/>
        <w:topLinePunct w:val="0"/>
        <w:bidi w:val="0"/>
        <w:spacing w:line="5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对于谈判响应文件中的非重大偏离，如果出现含义不明确、同类问题表述不一致或者有明显文字和计算错误的内容，评标委员会可以书面形式（由评审小组专家签字）要求供应商作出必要的澄清、说明或者纠正。供应商的澄清、说明或者补正应当采用书面形式，由其授权的供应商代表签字，并不得超出谈判响应文件的范围或者改变谈判响应文件的实质性内容。</w:t>
      </w:r>
    </w:p>
    <w:p w14:paraId="4B0DE723">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1.4  谈判</w:t>
      </w:r>
    </w:p>
    <w:p w14:paraId="1FED8E0B">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1.4.1 对资格性检查和符合性检查合格的供应商，进入本次谈判程序。</w:t>
      </w:r>
    </w:p>
    <w:p w14:paraId="6C160B00">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1.4.2 谈判小组通过随机方式确定参加谈判供应商的谈判顺序，所有谈判小组成员逐一与供应商按照顺序分别单独进行谈判。在谈判中，谈判的任何一方不得透露与谈判有关的其他供应商的技术资料、价格和其他信息。</w:t>
      </w:r>
    </w:p>
    <w:p w14:paraId="7AAB59D0">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1.4.3 </w:t>
      </w:r>
      <w:r>
        <w:rPr>
          <w:rFonts w:hint="eastAsia" w:ascii="宋体" w:hAnsi="宋体" w:eastAsia="宋体" w:cs="宋体"/>
          <w:color w:val="000000" w:themeColor="text1"/>
          <w:szCs w:val="21"/>
          <w:highlight w:val="none"/>
          <w14:textFill>
            <w14:solidFill>
              <w14:schemeClr w14:val="tx1"/>
            </w14:solidFill>
          </w14:textFill>
        </w:rPr>
        <w:t>本次谈判进行</w:t>
      </w:r>
      <w:r>
        <w:rPr>
          <w:rFonts w:hint="eastAsia" w:ascii="宋体" w:hAnsi="宋体" w:cs="宋体"/>
          <w:color w:val="000000" w:themeColor="text1"/>
          <w:szCs w:val="21"/>
          <w:highlight w:val="none"/>
          <w:lang w:val="en-US" w:eastAsia="zh-CN"/>
          <w14:textFill>
            <w14:solidFill>
              <w14:schemeClr w14:val="tx1"/>
            </w14:solidFill>
          </w14:textFill>
        </w:rPr>
        <w:t>多轮</w:t>
      </w:r>
      <w:r>
        <w:rPr>
          <w:rFonts w:hint="eastAsia" w:ascii="宋体" w:hAnsi="宋体" w:eastAsia="宋体" w:cs="宋体"/>
          <w:color w:val="000000" w:themeColor="text1"/>
          <w:szCs w:val="21"/>
          <w:highlight w:val="none"/>
          <w14:textFill>
            <w14:solidFill>
              <w14:schemeClr w14:val="tx1"/>
            </w14:solidFill>
          </w14:textFill>
        </w:rPr>
        <w:t>报价，并给予每个供应商相同的机会。谈判响应文件报价为第一轮报价（初次报价），以后每轮次报价不得高于上一轮次报价（除谈判文件有实质性变动外），否则将被视为未实质性响应竞争性谈判文件。供应商应当对谈判的每轮次报价或承诺均以书面形式确认，在规定的时限内递交给谈判小组，谈判报价以供应商的最后一轮次报价及政府采购政策规定的价格扣除情况为准。</w:t>
      </w:r>
    </w:p>
    <w:p w14:paraId="0FAC5AB6">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1.4.4 在每一轮谈判中，谈判小组可以根据谈判文件规定和谈判情况，对谈判文件的采购需求中的技术、服务要求以及合同草案条款作实质性变动（谈判文件的实质性变动内容为谈判文件的组成部分），并以书面形式要求符合性审查合格的供应商，在规定的截止时间前重新提交响应文件。谈判小组应当根据规定对供应商重新提交的响应文件进行符合性审查。供应商重新提交的响应文件未通过符合性审查的，不得进入下一轮谈判，也不得要求提交最后报价。</w:t>
      </w:r>
    </w:p>
    <w:p w14:paraId="2859828E">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1.4.5 在提出成交供应商候选人之前，谈判小组认为排在前3名的成交候选人的最低报价或某些分项报价明显不合理或者低于成本，有可能影响商品质量和不能诚信履约的，应当要求其在规定的期限内提供书面文件予以解释说明，并提交相关证明村料，否则，谈判小组可以取消该供应商的成交候选资格，按顺序由排在后面的供应商递补，以此类推。</w:t>
      </w:r>
    </w:p>
    <w:p w14:paraId="5D8CC7CC">
      <w:pPr>
        <w:keepLines w:val="0"/>
        <w:pageBreakBefore w:val="0"/>
        <w:overflowPunct w:val="0"/>
        <w:topLinePunct w:val="0"/>
        <w:bidi w:val="0"/>
        <w:spacing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1.4.6 提交首次响应文件的供应商，未按谈判文件规定及谈判小组要求提交最后一轮报价（或者重新提交的响应文件和最后报价）退出谈判的，供应商的保证金不予退还。</w:t>
      </w:r>
    </w:p>
    <w:p w14:paraId="491D9E2C">
      <w:pPr>
        <w:keepLines w:val="0"/>
        <w:pageBreakBefore w:val="0"/>
        <w:overflowPunct w:val="0"/>
        <w:topLinePunct w:val="0"/>
        <w:bidi w:val="0"/>
        <w:spacing w:before="240" w:after="120"/>
        <w:jc w:val="left"/>
        <w:outlineLvl w:val="1"/>
        <w:rPr>
          <w:rFonts w:hint="eastAsia" w:ascii="宋体" w:hAnsi="宋体" w:eastAsia="宋体" w:cs="宋体"/>
          <w:b/>
          <w:bCs/>
          <w:color w:val="000000" w:themeColor="text1"/>
          <w:sz w:val="28"/>
          <w:highlight w:val="none"/>
          <w14:textFill>
            <w14:solidFill>
              <w14:schemeClr w14:val="tx1"/>
            </w14:solidFill>
          </w14:textFill>
        </w:rPr>
      </w:pPr>
      <w:r>
        <w:rPr>
          <w:rFonts w:hint="eastAsia" w:ascii="宋体" w:hAnsi="宋体" w:eastAsia="宋体" w:cs="宋体"/>
          <w:b/>
          <w:bCs/>
          <w:color w:val="000000" w:themeColor="text1"/>
          <w:sz w:val="28"/>
          <w:highlight w:val="none"/>
          <w14:textFill>
            <w14:solidFill>
              <w14:schemeClr w14:val="tx1"/>
            </w14:solidFill>
          </w14:textFill>
        </w:rPr>
        <w:t>2、评审办法</w:t>
      </w:r>
    </w:p>
    <w:p w14:paraId="23AEDA56">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2.1  最低评审价法</w:t>
      </w:r>
    </w:p>
    <w:p w14:paraId="3FD9B864">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最低评审价法，是指以价格为主要因素确定成交候选供应商的评标方法，即谈判响应文件能够全部满足竞争性谈判文件实质性要求前提下，依据统一的价格要素评定最低报价，以提出最低报价的供应商作为成交候选供应商或者成交供应商的评标方法。即竞争性谈判小组将从质量和服务均能满足采购文件实质性响应要求的供应商中，按照最后报价由低到高的顺序提出3名成交候选人。</w:t>
      </w:r>
    </w:p>
    <w:p w14:paraId="323AEBEC">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2.2  政策性价格优惠折扣的规定：</w:t>
      </w:r>
    </w:p>
    <w:p w14:paraId="0B91EE8A">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关于中小企业、监狱企业、残疾人福利性企业的说明：</w:t>
      </w:r>
    </w:p>
    <w:p w14:paraId="32F0B13E">
      <w:pPr>
        <w:keepLines w:val="0"/>
        <w:pageBreakBefore w:val="0"/>
        <w:numPr>
          <w:ilvl w:val="0"/>
          <w:numId w:val="6"/>
        </w:numPr>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落实促进支持中小企业、监狱企业、残疾人福利性单位发展、脱贫攻坚工作的政策</w:t>
      </w:r>
    </w:p>
    <w:p w14:paraId="68022343">
      <w:pPr>
        <w:keepLines w:val="0"/>
        <w:pageBreakBefore w:val="0"/>
        <w:numPr>
          <w:ilvl w:val="0"/>
          <w:numId w:val="0"/>
        </w:numPr>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 《政府采购促进中小企业发展管理办法》（财库〔2020〕46号）在政府采购活动中，供应商提供的货物、工程或者服务符合下列情形的，享受《办法》规定的中小企业扶持政策:</w:t>
      </w:r>
    </w:p>
    <w:p w14:paraId="09244A41">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(一)在货物采购项目中，货物由中小企业制造，即货物由中小企业生产且使用该中小企业商号或者注册商标；</w:t>
      </w:r>
    </w:p>
    <w:p w14:paraId="249CF819">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(二)在工程采购项目中，工程由中小企业承建，即工程施工单位为中小企业；</w:t>
      </w:r>
    </w:p>
    <w:p w14:paraId="21056D09">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(三)在服务采购项目中，服务由中小企业承接，即提供服务的人员为中小企业依照《中华人民共和国劳动合同法》订立劳动合同的从业人员。</w:t>
      </w:r>
    </w:p>
    <w:p w14:paraId="5E6C7760">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在货物采购项目中，供应商提供的货物既有中小企业制造货物，也有大型企业制造货物的，不享受《办法》规定的中小企业扶持政策。</w:t>
      </w:r>
    </w:p>
    <w:p w14:paraId="7E297002">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486A336E">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依据《办法》规定享受扶持政策获得政府采购合同的，小微企业不得将合同分包给大中型企业，中型企业不得将合同分包给大型企业。</w:t>
      </w:r>
    </w:p>
    <w:p w14:paraId="71582658">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政府采购促进中小企业发展管理办法》的通知（财库〔2020〕46号）规定，参加政府采购活动的中小企业应当提供《中小企业声明函》。供应商提供的《中小企业声明函》原件必须真实，否则，按照有关规定予以处理。</w:t>
      </w:r>
    </w:p>
    <w:p w14:paraId="19471E35">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 《财政部 司法部关于政府采购支持监狱企业发展有关问题的通知》（财库〔2014〕68号）</w:t>
      </w:r>
    </w:p>
    <w:p w14:paraId="44E86D98">
      <w:pPr>
        <w:keepLines w:val="0"/>
        <w:pageBreakBefore w:val="0"/>
        <w:overflowPunct w:val="0"/>
        <w:topLinePunct w:val="0"/>
        <w:bidi w:val="0"/>
        <w:spacing w:line="5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监狱企业参加政府采购活动时，应当提供由省级以上监狱管理局、戒毒管理局（含新疆生产建设兵团）</w:t>
      </w:r>
    </w:p>
    <w:p w14:paraId="34A224CC">
      <w:pPr>
        <w:keepLines w:val="0"/>
        <w:pageBreakBefore w:val="0"/>
        <w:overflowPunct w:val="0"/>
        <w:topLinePunct w:val="0"/>
        <w:bidi w:val="0"/>
        <w:spacing w:line="500" w:lineRule="exact"/>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出具的属于监狱企业的证明文件。在政府采购活动中，监狱企业视同小型、微型企业。</w:t>
      </w:r>
    </w:p>
    <w:p w14:paraId="3EF956DE">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 《三部门联合发布关于促进残疾人就业政府采购政策的通知》（财库〔2017〕141号）；</w:t>
      </w:r>
    </w:p>
    <w:p w14:paraId="23C66EC4">
      <w:pPr>
        <w:keepLines w:val="0"/>
        <w:pageBreakBefore w:val="0"/>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DC96C88">
      <w:pPr>
        <w:keepNext w:val="0"/>
        <w:keepLines w:val="0"/>
        <w:pageBreakBefore w:val="0"/>
        <w:widowControl w:val="0"/>
        <w:kinsoku/>
        <w:wordWrap/>
        <w:overflowPunct w:val="0"/>
        <w:topLinePunct w:val="0"/>
        <w:autoSpaceDE/>
        <w:autoSpaceDN/>
        <w:bidi w:val="0"/>
        <w:adjustRightInd/>
        <w:snapToGrid/>
        <w:spacing w:line="500" w:lineRule="exact"/>
        <w:ind w:firstLine="420" w:firstLineChars="200"/>
        <w:jc w:val="both"/>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1.4 </w:t>
      </w:r>
      <w:r>
        <w:rPr>
          <w:rFonts w:hint="eastAsia" w:ascii="宋体" w:hAnsi="宋体" w:eastAsia="宋体" w:cs="宋体"/>
          <w:color w:val="000000" w:themeColor="text1"/>
          <w:szCs w:val="21"/>
          <w:highlight w:val="none"/>
          <w14:textFill>
            <w14:solidFill>
              <w14:schemeClr w14:val="tx1"/>
            </w14:solidFill>
          </w14:textFill>
        </w:rPr>
        <w:t>供应商优惠比例符合</w:t>
      </w:r>
      <w:r>
        <w:rPr>
          <w:rFonts w:hint="eastAsia" w:ascii="宋体" w:hAnsi="宋体" w:cs="宋体"/>
          <w:color w:val="000000" w:themeColor="text1"/>
          <w:szCs w:val="21"/>
          <w:highlight w:val="none"/>
          <w:lang w:val="en-US"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文件规定的</w:t>
      </w:r>
      <w:r>
        <w:rPr>
          <w:rFonts w:hint="eastAsia" w:ascii="宋体" w:hAnsi="宋体" w:cs="宋体"/>
          <w:color w:val="000000" w:themeColor="text1"/>
          <w:szCs w:val="21"/>
          <w:highlight w:val="none"/>
          <w:lang w:val="en-US" w:eastAsia="zh-CN"/>
          <w14:textFill>
            <w14:solidFill>
              <w14:schemeClr w14:val="tx1"/>
            </w14:solidFill>
          </w14:textFill>
        </w:rPr>
        <w:t>小微</w:t>
      </w:r>
      <w:r>
        <w:rPr>
          <w:rFonts w:hint="eastAsia" w:ascii="宋体" w:hAnsi="宋体" w:eastAsia="宋体" w:cs="宋体"/>
          <w:color w:val="000000" w:themeColor="text1"/>
          <w:szCs w:val="21"/>
          <w:highlight w:val="none"/>
          <w14:textFill>
            <w14:solidFill>
              <w14:schemeClr w14:val="tx1"/>
            </w14:solidFill>
          </w14:textFill>
        </w:rPr>
        <w:t>企业、监狱企业或残疾人福利性单位优惠条件的供应商，价格给予</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%的扣除（不重复优惠，最高为</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%），用扣除后的价格参与评审。</w:t>
      </w:r>
    </w:p>
    <w:p w14:paraId="04806A7B">
      <w:pPr>
        <w:keepNext w:val="0"/>
        <w:keepLines w:val="0"/>
        <w:pageBreakBefore w:val="0"/>
        <w:widowControl w:val="0"/>
        <w:numPr>
          <w:ilvl w:val="0"/>
          <w:numId w:val="7"/>
        </w:numPr>
        <w:kinsoku/>
        <w:wordWrap/>
        <w:overflowPunct w:val="0"/>
        <w:topLinePunct w:val="0"/>
        <w:autoSpaceDE/>
        <w:autoSpaceDN/>
        <w:bidi w:val="0"/>
        <w:adjustRightInd/>
        <w:snapToGrid/>
        <w:spacing w:line="500" w:lineRule="exact"/>
        <w:ind w:firstLine="420" w:firstLineChars="20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落实优先采购节能、环保产品的政策</w:t>
      </w:r>
      <w:bookmarkStart w:id="54" w:name="_GoBack"/>
      <w:bookmarkEnd w:id="54"/>
    </w:p>
    <w:p w14:paraId="471C103F">
      <w:pPr>
        <w:keepNext w:val="0"/>
        <w:keepLines w:val="0"/>
        <w:pageBreakBefore w:val="0"/>
        <w:widowControl w:val="0"/>
        <w:numPr>
          <w:ilvl w:val="0"/>
          <w:numId w:val="0"/>
        </w:numPr>
        <w:kinsoku/>
        <w:wordWrap/>
        <w:overflowPunct w:val="0"/>
        <w:topLinePunct w:val="0"/>
        <w:autoSpaceDE/>
        <w:autoSpaceDN/>
        <w:bidi w:val="0"/>
        <w:adjustRightInd/>
        <w:snapToGrid/>
        <w:spacing w:line="500" w:lineRule="exact"/>
        <w:ind w:firstLine="420" w:firstLineChars="20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 根据《财政部 国家发展改革委关于印发〈节能产品政府采购实施意见〉的通知》（财库〔2004〕185号）规定“政府采购属于节能产品品目清单的，在技术、服务等指标同等条件下，应当优先采购节能品目清单的节能产品。”</w:t>
      </w:r>
    </w:p>
    <w:p w14:paraId="03EE5648">
      <w:pPr>
        <w:keepNext w:val="0"/>
        <w:keepLines w:val="0"/>
        <w:pageBreakBefore w:val="0"/>
        <w:widowControl w:val="0"/>
        <w:numPr>
          <w:ilvl w:val="0"/>
          <w:numId w:val="0"/>
        </w:numPr>
        <w:kinsoku/>
        <w:wordWrap/>
        <w:overflowPunct w:val="0"/>
        <w:topLinePunct w:val="0"/>
        <w:autoSpaceDE/>
        <w:autoSpaceDN/>
        <w:bidi w:val="0"/>
        <w:adjustRightInd/>
        <w:snapToGrid/>
        <w:spacing w:line="500" w:lineRule="exact"/>
        <w:ind w:firstLine="420" w:firstLineChars="20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50EFDA07">
      <w:pPr>
        <w:keepNext w:val="0"/>
        <w:keepLines w:val="0"/>
        <w:pageBreakBefore w:val="0"/>
        <w:widowControl w:val="0"/>
        <w:numPr>
          <w:ilvl w:val="0"/>
          <w:numId w:val="0"/>
        </w:numPr>
        <w:kinsoku/>
        <w:wordWrap/>
        <w:overflowPunct w:val="0"/>
        <w:topLinePunct w:val="0"/>
        <w:autoSpaceDE/>
        <w:autoSpaceDN/>
        <w:bidi w:val="0"/>
        <w:adjustRightInd/>
        <w:snapToGrid/>
        <w:spacing w:line="500" w:lineRule="exact"/>
        <w:ind w:firstLine="420" w:firstLineChars="200"/>
        <w:jc w:val="both"/>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7A6BEE11">
      <w:pPr>
        <w:keepLines w:val="0"/>
        <w:pageBreakBefore w:val="0"/>
        <w:numPr>
          <w:ilvl w:val="0"/>
          <w:numId w:val="0"/>
        </w:numPr>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624A09E">
      <w:pPr>
        <w:keepLines w:val="0"/>
        <w:pageBreakBefore w:val="0"/>
        <w:numPr>
          <w:ilvl w:val="0"/>
          <w:numId w:val="0"/>
        </w:numPr>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所有投标产品进入 “节能产品政府采购品目清单”的，应提供相关证书复印件，相关证书的颁发机构应来自《参与实施政府采购节能产品认证机构名录》。</w:t>
      </w:r>
    </w:p>
    <w:p w14:paraId="0786175C">
      <w:pPr>
        <w:keepLines w:val="0"/>
        <w:pageBreakBefore w:val="0"/>
        <w:numPr>
          <w:ilvl w:val="0"/>
          <w:numId w:val="0"/>
        </w:numPr>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所有投标产品进入“环境标志产品政府采购品目清单”的，应提供相关证书复印件，相关证书的颁发机构应来自《参与实施政府采购环境标志产品认证机构名录》。</w:t>
      </w:r>
    </w:p>
    <w:p w14:paraId="608B83A5">
      <w:pPr>
        <w:keepLines w:val="0"/>
        <w:pageBreakBefore w:val="0"/>
        <w:numPr>
          <w:ilvl w:val="0"/>
          <w:numId w:val="0"/>
        </w:numPr>
        <w:overflowPunct w:val="0"/>
        <w:topLinePunct w:val="0"/>
        <w:bidi w:val="0"/>
        <w:spacing w:line="500" w:lineRule="exact"/>
        <w:ind w:left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14:textFill>
            <w14:solidFill>
              <w14:schemeClr w14:val="tx1"/>
            </w14:solidFill>
          </w14:textFill>
        </w:rPr>
        <w:t>政府采购信用融资政策</w:t>
      </w:r>
    </w:p>
    <w:p w14:paraId="09FA0A9A">
      <w:pPr>
        <w:keepLines w:val="0"/>
        <w:pageBreakBefore w:val="0"/>
        <w:numPr>
          <w:ilvl w:val="0"/>
          <w:numId w:val="0"/>
        </w:numPr>
        <w:overflowPunct w:val="0"/>
        <w:topLinePunct w:val="0"/>
        <w:bidi w:val="0"/>
        <w:spacing w:line="500" w:lineRule="exact"/>
        <w:ind w:firstLine="420" w:firstLineChars="20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698045A7">
      <w:pPr>
        <w:keepLines w:val="0"/>
        <w:pageBreakBefore w:val="0"/>
        <w:numPr>
          <w:ilvl w:val="0"/>
          <w:numId w:val="0"/>
        </w:numPr>
        <w:overflowPunct w:val="0"/>
        <w:topLinePunct w:val="0"/>
        <w:bidi w:val="0"/>
        <w:spacing w:line="500" w:lineRule="exact"/>
        <w:ind w:firstLine="420" w:firstLineChars="200"/>
        <w:jc w:val="both"/>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查询并办理相关业务。</w:t>
      </w:r>
    </w:p>
    <w:p w14:paraId="4D2E2215">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2.3  推荐成交候选人</w:t>
      </w:r>
    </w:p>
    <w:p w14:paraId="7E1777BE">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2.3.1 谈判小组从质量和服务均能满足采购文件实质性响应要求的供应商中，按照最终谈判报价和计算价格折扣之后的最终评审价（如果有）由低到高的顺序提出3名成交候选人。</w:t>
      </w:r>
    </w:p>
    <w:p w14:paraId="04FF489B">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2.3.2 若供应商的最终评审价相同，按最后一轮报价由低到高排列；最终评审价与最后一轮的报价均相同的，按技术指标优劣排列；最终评审价、最后一轮报价与技术指标均相同的，按服务优劣排列；以上全部相同的，由谈判小组投票决定。</w:t>
      </w:r>
    </w:p>
    <w:p w14:paraId="616AC40D">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2.3.3 排名第一的候选人，主动放弃成交，或因不可抗力不能履行合同，或被查实存在影响成交结果的违法行为等情形，已不再符合成交条件的，采购人可以按照评委会提出的成交候选人名单排序依次确定其他成交候选人为成交人，也可以根据实际情况需要，依法重新采购。</w:t>
      </w:r>
    </w:p>
    <w:p w14:paraId="55109A0C">
      <w:pPr>
        <w:keepLines w:val="0"/>
        <w:pageBreakBefore w:val="0"/>
        <w:overflowPunct w:val="0"/>
        <w:topLinePunct w:val="0"/>
        <w:bidi w:val="0"/>
        <w:spacing w:before="240" w:after="120"/>
        <w:jc w:val="left"/>
        <w:outlineLvl w:val="2"/>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2.4  与采购人、采购代理机构和谈判小组接触</w:t>
      </w:r>
    </w:p>
    <w:p w14:paraId="15ED2ACF">
      <w:pPr>
        <w:keepLines w:val="0"/>
        <w:pageBreakBefore w:val="0"/>
        <w:overflowPunct w:val="0"/>
        <w:topLinePunct w:val="0"/>
        <w:bidi w:val="0"/>
        <w:spacing w:line="500" w:lineRule="exact"/>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供应商试图对采购人、采购代理机构和谈判小组的评审、比较或授予合同的决定进行影响，都可能导致其谈判被拒绝。</w:t>
      </w:r>
    </w:p>
    <w:p w14:paraId="7634F17C">
      <w:pPr>
        <w:rPr>
          <w:rFonts w:hint="eastAsia" w:ascii="宋体" w:hAnsi="宋体" w:eastAsia="宋体" w:cs="宋体"/>
          <w:b/>
          <w:bCs/>
          <w:color w:val="000000" w:themeColor="text1"/>
          <w:sz w:val="28"/>
          <w:szCs w:val="28"/>
          <w:highlight w:val="none"/>
          <w14:textFill>
            <w14:solidFill>
              <w14:schemeClr w14:val="tx1"/>
            </w14:solidFill>
          </w14:textFill>
        </w:rPr>
      </w:pPr>
      <w:bookmarkStart w:id="19" w:name="_Toc10684"/>
      <w:r>
        <w:rPr>
          <w:rFonts w:hint="eastAsia" w:ascii="宋体" w:hAnsi="宋体" w:eastAsia="宋体" w:cs="宋体"/>
          <w:b/>
          <w:bCs/>
          <w:color w:val="000000" w:themeColor="text1"/>
          <w:sz w:val="28"/>
          <w:szCs w:val="28"/>
          <w:highlight w:val="none"/>
          <w14:textFill>
            <w14:solidFill>
              <w14:schemeClr w14:val="tx1"/>
            </w14:solidFill>
          </w14:textFill>
        </w:rPr>
        <w:br w:type="page"/>
      </w:r>
    </w:p>
    <w:p w14:paraId="3DE9889C">
      <w:pPr>
        <w:keepLines w:val="0"/>
        <w:pageBreakBefore w:val="0"/>
        <w:widowControl/>
        <w:overflowPunct w:val="0"/>
        <w:topLinePunct w:val="0"/>
        <w:autoSpaceDE w:val="0"/>
        <w:autoSpaceDN w:val="0"/>
        <w:bidi w:val="0"/>
        <w:spacing w:line="500" w:lineRule="exact"/>
        <w:ind w:right="53" w:rightChars="0"/>
        <w:textAlignment w:val="bottom"/>
        <w:outlineLvl w:val="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附件一：</w:t>
      </w:r>
      <w:bookmarkEnd w:id="19"/>
    </w:p>
    <w:p w14:paraId="5CB4F776">
      <w:pPr>
        <w:keepNext w:val="0"/>
        <w:keepLines w:val="0"/>
        <w:pageBreakBefore w:val="0"/>
        <w:widowControl/>
        <w:kinsoku/>
        <w:wordWrap/>
        <w:overflowPunct w:val="0"/>
        <w:topLinePunct w:val="0"/>
        <w:autoSpaceDE w:val="0"/>
        <w:autoSpaceDN w:val="0"/>
        <w:bidi w:val="0"/>
        <w:adjustRightInd/>
        <w:snapToGrid/>
        <w:spacing w:after="240" w:afterLines="100" w:line="500" w:lineRule="exact"/>
        <w:ind w:right="0"/>
        <w:jc w:val="center"/>
        <w:textAlignment w:val="bottom"/>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资格性审查内容</w:t>
      </w:r>
    </w:p>
    <w:tbl>
      <w:tblPr>
        <w:tblStyle w:val="20"/>
        <w:tblW w:w="951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96"/>
        <w:gridCol w:w="8814"/>
      </w:tblGrid>
      <w:tr w14:paraId="052CF2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696" w:type="dxa"/>
            <w:noWrap w:val="0"/>
            <w:vAlign w:val="center"/>
          </w:tcPr>
          <w:p w14:paraId="706B9B51">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8814" w:type="dxa"/>
            <w:noWrap w:val="0"/>
            <w:vAlign w:val="center"/>
          </w:tcPr>
          <w:p w14:paraId="22DE6EB4">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审查内容</w:t>
            </w:r>
          </w:p>
        </w:tc>
      </w:tr>
      <w:tr w14:paraId="771601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696" w:type="dxa"/>
            <w:noWrap w:val="0"/>
            <w:vAlign w:val="center"/>
          </w:tcPr>
          <w:p w14:paraId="2FC89708">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w:t>
            </w:r>
          </w:p>
        </w:tc>
        <w:tc>
          <w:tcPr>
            <w:tcW w:w="8814" w:type="dxa"/>
            <w:noWrap w:val="0"/>
            <w:vAlign w:val="center"/>
          </w:tcPr>
          <w:p w14:paraId="726A5111">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22D5CA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696" w:type="dxa"/>
            <w:noWrap w:val="0"/>
            <w:vAlign w:val="center"/>
          </w:tcPr>
          <w:p w14:paraId="30940631">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w:t>
            </w:r>
          </w:p>
        </w:tc>
        <w:tc>
          <w:tcPr>
            <w:tcW w:w="8814" w:type="dxa"/>
            <w:noWrap w:val="0"/>
            <w:vAlign w:val="center"/>
          </w:tcPr>
          <w:p w14:paraId="22BABB60">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提供法定代表人授权书（附法定代表人身份证复印件）及被授权代表身份证复印件（法定代表人直接参加只须提供法定代表人身份证复印件）；</w:t>
            </w:r>
          </w:p>
        </w:tc>
      </w:tr>
      <w:tr w14:paraId="21C078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696" w:type="dxa"/>
            <w:noWrap w:val="0"/>
            <w:vAlign w:val="center"/>
          </w:tcPr>
          <w:p w14:paraId="69EAF158">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8814" w:type="dxa"/>
            <w:noWrap w:val="0"/>
            <w:vAlign w:val="center"/>
          </w:tcPr>
          <w:p w14:paraId="191BE868">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财务状况报告：提供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p>
        </w:tc>
      </w:tr>
      <w:tr w14:paraId="5B0F3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trPr>
        <w:tc>
          <w:tcPr>
            <w:tcW w:w="696" w:type="dxa"/>
            <w:noWrap w:val="0"/>
            <w:vAlign w:val="center"/>
          </w:tcPr>
          <w:p w14:paraId="4CEA36FD">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8814" w:type="dxa"/>
            <w:noWrap w:val="0"/>
            <w:vAlign w:val="center"/>
          </w:tcPr>
          <w:p w14:paraId="5CA70BB0">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税收缴纳证明:自 2026年01月至今至少1个月的纳税证明或完税证明,纳税证明或完税证明上应有代收机构或税务机关的公章或业务专用章。依法免税的供应商应提供相关文件证明；</w:t>
            </w:r>
          </w:p>
        </w:tc>
      </w:tr>
      <w:tr w14:paraId="1E066A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696" w:type="dxa"/>
            <w:noWrap w:val="0"/>
            <w:vAlign w:val="center"/>
          </w:tcPr>
          <w:p w14:paraId="77665B59">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p>
        </w:tc>
        <w:tc>
          <w:tcPr>
            <w:tcW w:w="8814" w:type="dxa"/>
            <w:noWrap w:val="0"/>
            <w:vAlign w:val="center"/>
          </w:tcPr>
          <w:p w14:paraId="4331227D">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社会保障资金缴纳证明：</w:t>
            </w:r>
            <w:r>
              <w:rPr>
                <w:rFonts w:hint="eastAsia" w:cs="宋体"/>
                <w:color w:val="000000" w:themeColor="text1"/>
                <w:sz w:val="21"/>
                <w:szCs w:val="21"/>
                <w:highlight w:val="none"/>
                <w:lang w:eastAsia="zh-CN"/>
                <w14:textFill>
                  <w14:solidFill>
                    <w14:schemeClr w14:val="tx1"/>
                  </w14:solidFill>
                </w14:textFill>
              </w:rPr>
              <w:t>自 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7EECC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696" w:type="dxa"/>
            <w:noWrap w:val="0"/>
            <w:vAlign w:val="center"/>
          </w:tcPr>
          <w:p w14:paraId="797C271F">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8814" w:type="dxa"/>
            <w:noWrap w:val="0"/>
            <w:vAlign w:val="center"/>
          </w:tcPr>
          <w:p w14:paraId="66F4E068">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参加政府采购活动前三年内（2023年1月至今），在经营活动中没有重大违法记录的书面声明</w:t>
            </w:r>
          </w:p>
        </w:tc>
      </w:tr>
      <w:tr w14:paraId="2634E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6" w:type="dxa"/>
            <w:noWrap w:val="0"/>
            <w:vAlign w:val="center"/>
          </w:tcPr>
          <w:p w14:paraId="6C9676B5">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8814" w:type="dxa"/>
            <w:noWrap w:val="0"/>
            <w:vAlign w:val="center"/>
          </w:tcPr>
          <w:p w14:paraId="08CB11F8">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具备履行合同所必需的设备和专业技术能力的书面声明（格式自拟）；</w:t>
            </w:r>
          </w:p>
        </w:tc>
      </w:tr>
      <w:tr w14:paraId="315509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696" w:type="dxa"/>
            <w:noWrap w:val="0"/>
            <w:vAlign w:val="center"/>
          </w:tcPr>
          <w:p w14:paraId="3065E27A">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8814" w:type="dxa"/>
            <w:noWrap w:val="0"/>
            <w:vAlign w:val="center"/>
          </w:tcPr>
          <w:p w14:paraId="274B40E4">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供应商不得被列为“信用中国”网站(www.creditchina.gov.cn)“信用服务”中“失信被执行人、重大税收违法案件当事人名单、政府采购严重违法失信名单”和中国政府采购网(www.ccgp.gov.cn)“政府采购严重违法失信行为信息记录”</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tc>
      </w:tr>
      <w:tr w14:paraId="18F54A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6" w:type="dxa"/>
            <w:noWrap w:val="0"/>
            <w:vAlign w:val="center"/>
          </w:tcPr>
          <w:p w14:paraId="0C5310A1">
            <w:pPr>
              <w:pStyle w:val="17"/>
              <w:keepLines w:val="0"/>
              <w:pageBreakBefore w:val="0"/>
              <w:overflowPunct w:val="0"/>
              <w:topLinePunct w:val="0"/>
              <w:bidi w:val="0"/>
              <w:spacing w:before="0" w:beforeAutospacing="0" w:after="0" w:afterAutospacing="0" w:line="500" w:lineRule="exact"/>
              <w:jc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cs="宋体"/>
                <w:color w:val="000000" w:themeColor="text1"/>
                <w:kern w:val="0"/>
                <w:sz w:val="21"/>
                <w:szCs w:val="21"/>
                <w:highlight w:val="none"/>
                <w:lang w:val="en-US" w:eastAsia="zh-CN"/>
                <w14:textFill>
                  <w14:solidFill>
                    <w14:schemeClr w14:val="tx1"/>
                  </w14:solidFill>
                </w14:textFill>
              </w:rPr>
              <w:t>9</w:t>
            </w:r>
          </w:p>
        </w:tc>
        <w:tc>
          <w:tcPr>
            <w:tcW w:w="8814" w:type="dxa"/>
            <w:noWrap w:val="0"/>
            <w:vAlign w:val="center"/>
          </w:tcPr>
          <w:p w14:paraId="7F2B7255">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生产厂家投标需提供《药品生产许可证》及药品批准文号或《药品注册证书》。代理商投标须提供《药品经营许可证》（经营范围含叶酸）及所投药品的合法上市证明；</w:t>
            </w:r>
          </w:p>
        </w:tc>
      </w:tr>
      <w:tr w14:paraId="6D08F2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696" w:type="dxa"/>
            <w:noWrap w:val="0"/>
            <w:vAlign w:val="center"/>
          </w:tcPr>
          <w:p w14:paraId="4B68A36C">
            <w:pPr>
              <w:pStyle w:val="17"/>
              <w:keepLines w:val="0"/>
              <w:pageBreakBefore w:val="0"/>
              <w:overflowPunct w:val="0"/>
              <w:topLinePunct w:val="0"/>
              <w:bidi w:val="0"/>
              <w:spacing w:before="0" w:beforeAutospacing="0" w:after="0" w:afterAutospacing="0" w:line="5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10</w:t>
            </w:r>
          </w:p>
        </w:tc>
        <w:tc>
          <w:tcPr>
            <w:tcW w:w="8814" w:type="dxa"/>
            <w:noWrap w:val="0"/>
            <w:vAlign w:val="center"/>
          </w:tcPr>
          <w:p w14:paraId="7A79851B">
            <w:pPr>
              <w:pStyle w:val="17"/>
              <w:keepLines w:val="0"/>
              <w:pageBreakBefore w:val="0"/>
              <w:overflowPunct w:val="0"/>
              <w:topLinePunct w:val="0"/>
              <w:bidi w:val="0"/>
              <w:spacing w:before="0" w:beforeAutospacing="0" w:after="0" w:afterAutospacing="0" w:line="5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本项目不接受联合体投标，提供非联合体投标声明函。</w:t>
            </w:r>
          </w:p>
        </w:tc>
      </w:tr>
    </w:tbl>
    <w:p w14:paraId="50ADE43A">
      <w:pPr>
        <w:keepLines w:val="0"/>
        <w:pageBreakBefore w:val="0"/>
        <w:widowControl/>
        <w:overflowPunct w:val="0"/>
        <w:topLinePunct w:val="0"/>
        <w:autoSpaceDE w:val="0"/>
        <w:autoSpaceDN w:val="0"/>
        <w:bidi w:val="0"/>
        <w:spacing w:after="240" w:afterLines="100" w:line="500" w:lineRule="exact"/>
        <w:ind w:right="53" w:rightChars="0"/>
        <w:jc w:val="left"/>
        <w:textAlignment w:val="bottom"/>
        <w:outlineLvl w:val="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r>
      <w:bookmarkStart w:id="20" w:name="_Toc21602"/>
      <w:r>
        <w:rPr>
          <w:rFonts w:hint="eastAsia" w:ascii="宋体" w:hAnsi="宋体" w:eastAsia="宋体" w:cs="宋体"/>
          <w:b/>
          <w:bCs/>
          <w:color w:val="000000" w:themeColor="text1"/>
          <w:sz w:val="28"/>
          <w:szCs w:val="28"/>
          <w:highlight w:val="none"/>
          <w14:textFill>
            <w14:solidFill>
              <w14:schemeClr w14:val="tx1"/>
            </w14:solidFill>
          </w14:textFill>
        </w:rPr>
        <w:t>附件二：</w:t>
      </w:r>
      <w:bookmarkEnd w:id="20"/>
    </w:p>
    <w:p w14:paraId="221D8E2F">
      <w:pPr>
        <w:keepLines w:val="0"/>
        <w:pageBreakBefore w:val="0"/>
        <w:widowControl/>
        <w:overflowPunct w:val="0"/>
        <w:topLinePunct w:val="0"/>
        <w:autoSpaceDE w:val="0"/>
        <w:autoSpaceDN w:val="0"/>
        <w:bidi w:val="0"/>
        <w:spacing w:after="240" w:afterLines="100" w:line="500" w:lineRule="exact"/>
        <w:ind w:right="53"/>
        <w:jc w:val="center"/>
        <w:textAlignment w:val="bottom"/>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符合性审查内容</w:t>
      </w:r>
    </w:p>
    <w:tbl>
      <w:tblPr>
        <w:tblStyle w:val="20"/>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8367"/>
      </w:tblGrid>
      <w:tr w14:paraId="6D5C11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296" w:hRule="atLeast"/>
        </w:trPr>
        <w:tc>
          <w:tcPr>
            <w:tcW w:w="992" w:type="dxa"/>
            <w:noWrap w:val="0"/>
            <w:vAlign w:val="center"/>
          </w:tcPr>
          <w:p w14:paraId="7C2FB4C3">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8367" w:type="dxa"/>
            <w:noWrap w:val="0"/>
            <w:vAlign w:val="center"/>
          </w:tcPr>
          <w:p w14:paraId="5F86A574">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审查内容</w:t>
            </w:r>
          </w:p>
        </w:tc>
      </w:tr>
      <w:tr w14:paraId="038504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92" w:type="dxa"/>
            <w:noWrap w:val="0"/>
            <w:vAlign w:val="center"/>
          </w:tcPr>
          <w:p w14:paraId="019A6E35">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8367" w:type="dxa"/>
            <w:noWrap w:val="0"/>
            <w:vAlign w:val="center"/>
          </w:tcPr>
          <w:p w14:paraId="2E33E0FE">
            <w:pPr>
              <w:pStyle w:val="17"/>
              <w:keepLines w:val="0"/>
              <w:pageBreakBefore w:val="0"/>
              <w:overflowPunct w:val="0"/>
              <w:topLinePunct w:val="0"/>
              <w:bidi w:val="0"/>
              <w:spacing w:before="0" w:beforeAutospacing="0" w:after="0" w:afterAutospacing="0" w:line="500" w:lineRule="exact"/>
              <w:jc w:val="both"/>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谈判响应文件格式是否符合竞争性谈判文件要求，签字盖章是否齐全、有效。</w:t>
            </w:r>
          </w:p>
        </w:tc>
      </w:tr>
      <w:tr w14:paraId="057076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92" w:type="dxa"/>
            <w:noWrap w:val="0"/>
            <w:vAlign w:val="center"/>
          </w:tcPr>
          <w:p w14:paraId="4F2CE4B9">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8367" w:type="dxa"/>
            <w:shd w:val="clear" w:color="auto" w:fill="auto"/>
            <w:noWrap w:val="0"/>
            <w:vAlign w:val="center"/>
          </w:tcPr>
          <w:p w14:paraId="7B55893D">
            <w:pPr>
              <w:pStyle w:val="17"/>
              <w:keepLines w:val="0"/>
              <w:pageBreakBefore w:val="0"/>
              <w:overflowPunct w:val="0"/>
              <w:topLinePunct w:val="0"/>
              <w:bidi w:val="0"/>
              <w:spacing w:before="0" w:beforeAutospacing="0" w:after="0" w:afterAutospacing="0" w:line="500" w:lineRule="exact"/>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谈判有效期是否满足要求</w:t>
            </w:r>
            <w:r>
              <w:rPr>
                <w:rFonts w:hint="eastAsia" w:cs="宋体"/>
                <w:color w:val="000000" w:themeColor="text1"/>
                <w:sz w:val="21"/>
                <w:szCs w:val="21"/>
                <w:highlight w:val="none"/>
                <w:lang w:eastAsia="zh-CN"/>
                <w14:textFill>
                  <w14:solidFill>
                    <w14:schemeClr w14:val="tx1"/>
                  </w14:solidFill>
                </w14:textFill>
              </w:rPr>
              <w:t>。</w:t>
            </w:r>
          </w:p>
        </w:tc>
      </w:tr>
      <w:tr w14:paraId="103CE5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992" w:type="dxa"/>
            <w:noWrap w:val="0"/>
            <w:vAlign w:val="center"/>
          </w:tcPr>
          <w:p w14:paraId="690FC096">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8367" w:type="dxa"/>
            <w:shd w:val="clear" w:color="auto" w:fill="auto"/>
            <w:noWrap w:val="0"/>
            <w:vAlign w:val="center"/>
          </w:tcPr>
          <w:p w14:paraId="642A37D4">
            <w:pPr>
              <w:pStyle w:val="17"/>
              <w:keepLines w:val="0"/>
              <w:pageBreakBefore w:val="0"/>
              <w:overflowPunct w:val="0"/>
              <w:topLinePunct w:val="0"/>
              <w:bidi w:val="0"/>
              <w:spacing w:before="0" w:beforeAutospacing="0" w:after="0" w:afterAutospacing="0" w:line="500" w:lineRule="exact"/>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谈判报价是否超过</w:t>
            </w:r>
            <w:r>
              <w:rPr>
                <w:rFonts w:hint="eastAsia" w:ascii="宋体" w:hAnsi="宋体" w:eastAsia="宋体" w:cs="宋体"/>
                <w:color w:val="000000" w:themeColor="text1"/>
                <w:sz w:val="21"/>
                <w:szCs w:val="21"/>
                <w:highlight w:val="none"/>
                <w:lang w:val="en-US" w:eastAsia="zh-CN"/>
                <w14:textFill>
                  <w14:solidFill>
                    <w14:schemeClr w14:val="tx1"/>
                  </w14:solidFill>
                </w14:textFill>
              </w:rPr>
              <w:t>最高限价</w:t>
            </w:r>
            <w:r>
              <w:rPr>
                <w:rFonts w:hint="eastAsia" w:cs="宋体"/>
                <w:color w:val="000000" w:themeColor="text1"/>
                <w:sz w:val="21"/>
                <w:szCs w:val="21"/>
                <w:highlight w:val="none"/>
                <w:lang w:eastAsia="zh-CN"/>
                <w14:textFill>
                  <w14:solidFill>
                    <w14:schemeClr w14:val="tx1"/>
                  </w14:solidFill>
                </w14:textFill>
              </w:rPr>
              <w:t>。</w:t>
            </w:r>
          </w:p>
        </w:tc>
      </w:tr>
      <w:tr w14:paraId="46BEAC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992" w:type="dxa"/>
            <w:noWrap w:val="0"/>
            <w:vAlign w:val="center"/>
          </w:tcPr>
          <w:p w14:paraId="6A17627D">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8367" w:type="dxa"/>
            <w:shd w:val="clear" w:color="auto" w:fill="auto"/>
            <w:noWrap w:val="0"/>
            <w:vAlign w:val="center"/>
          </w:tcPr>
          <w:p w14:paraId="1D15EF13">
            <w:pPr>
              <w:pStyle w:val="17"/>
              <w:keepLines w:val="0"/>
              <w:pageBreakBefore w:val="0"/>
              <w:overflowPunct w:val="0"/>
              <w:topLinePunct w:val="0"/>
              <w:bidi w:val="0"/>
              <w:spacing w:before="0" w:beforeAutospacing="0" w:after="0" w:afterAutospacing="0" w:line="500" w:lineRule="exact"/>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投标文件响应内容是否符合国家法律</w:t>
            </w:r>
            <w:r>
              <w:rPr>
                <w:rFonts w:hint="eastAsia"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法规，是否实质性响应了</w:t>
            </w:r>
            <w:r>
              <w:rPr>
                <w:rFonts w:hint="eastAsia" w:ascii="宋体" w:hAnsi="宋体" w:eastAsia="宋体" w:cs="宋体"/>
                <w:color w:val="000000" w:themeColor="text1"/>
                <w:sz w:val="21"/>
                <w:szCs w:val="21"/>
                <w:highlight w:val="none"/>
                <w:lang w:val="en-US"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文件要求并且提供了</w:t>
            </w:r>
            <w:r>
              <w:rPr>
                <w:rFonts w:hint="eastAsia" w:cs="宋体"/>
                <w:color w:val="000000" w:themeColor="text1"/>
                <w:sz w:val="21"/>
                <w:szCs w:val="21"/>
                <w:highlight w:val="none"/>
                <w:lang w:val="en-US" w:eastAsia="zh-CN"/>
                <w14:textFill>
                  <w14:solidFill>
                    <w14:schemeClr w14:val="tx1"/>
                  </w14:solidFill>
                </w14:textFill>
              </w:rPr>
              <w:t>支撑</w:t>
            </w:r>
            <w:r>
              <w:rPr>
                <w:rFonts w:hint="eastAsia" w:ascii="宋体" w:hAnsi="宋体" w:eastAsia="宋体" w:cs="宋体"/>
                <w:color w:val="000000" w:themeColor="text1"/>
                <w:sz w:val="21"/>
                <w:szCs w:val="21"/>
                <w:highlight w:val="none"/>
                <w14:textFill>
                  <w14:solidFill>
                    <w14:schemeClr w14:val="tx1"/>
                  </w14:solidFill>
                </w14:textFill>
              </w:rPr>
              <w:t>文件</w:t>
            </w:r>
            <w:r>
              <w:rPr>
                <w:rFonts w:hint="eastAsia" w:cs="宋体"/>
                <w:color w:val="000000" w:themeColor="text1"/>
                <w:sz w:val="21"/>
                <w:szCs w:val="21"/>
                <w:highlight w:val="none"/>
                <w:lang w:eastAsia="zh-CN"/>
                <w14:textFill>
                  <w14:solidFill>
                    <w14:schemeClr w14:val="tx1"/>
                  </w14:solidFill>
                </w14:textFill>
              </w:rPr>
              <w:t>（</w:t>
            </w:r>
            <w:r>
              <w:rPr>
                <w:rFonts w:hint="eastAsia" w:cs="宋体"/>
                <w:color w:val="000000" w:themeColor="text1"/>
                <w:sz w:val="21"/>
                <w:szCs w:val="21"/>
                <w:highlight w:val="none"/>
                <w:lang w:val="en-US" w:eastAsia="zh-CN"/>
                <w14:textFill>
                  <w14:solidFill>
                    <w14:schemeClr w14:val="tx1"/>
                  </w14:solidFill>
                </w14:textFill>
              </w:rPr>
              <w:t>样品是否提供齐全</w:t>
            </w:r>
            <w:r>
              <w:rPr>
                <w:rFonts w:hint="eastAsia"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tc>
      </w:tr>
      <w:tr w14:paraId="76472F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992" w:type="dxa"/>
            <w:noWrap w:val="0"/>
            <w:vAlign w:val="center"/>
          </w:tcPr>
          <w:p w14:paraId="76FFF024">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8367" w:type="dxa"/>
            <w:shd w:val="clear" w:color="auto" w:fill="auto"/>
            <w:noWrap w:val="0"/>
            <w:vAlign w:val="center"/>
          </w:tcPr>
          <w:p w14:paraId="4D1EBA90">
            <w:pPr>
              <w:pStyle w:val="17"/>
              <w:keepLines w:val="0"/>
              <w:pageBreakBefore w:val="0"/>
              <w:overflowPunct w:val="0"/>
              <w:topLinePunct w:val="0"/>
              <w:bidi w:val="0"/>
              <w:spacing w:before="0" w:beforeAutospacing="0" w:after="0" w:afterAutospacing="0" w:line="500" w:lineRule="exact"/>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谈判产品来源渠道是否合法</w:t>
            </w:r>
            <w:r>
              <w:rPr>
                <w:rFonts w:hint="eastAsia" w:cs="宋体"/>
                <w:color w:val="000000" w:themeColor="text1"/>
                <w:sz w:val="21"/>
                <w:szCs w:val="21"/>
                <w:highlight w:val="none"/>
                <w:lang w:eastAsia="zh-CN"/>
                <w14:textFill>
                  <w14:solidFill>
                    <w14:schemeClr w14:val="tx1"/>
                  </w14:solidFill>
                </w14:textFill>
              </w:rPr>
              <w:t>，</w:t>
            </w:r>
            <w:r>
              <w:rPr>
                <w:rFonts w:hint="eastAsia" w:cs="宋体"/>
                <w:color w:val="000000" w:themeColor="text1"/>
                <w:sz w:val="21"/>
                <w:szCs w:val="21"/>
                <w:highlight w:val="none"/>
                <w:lang w:val="en-US" w:eastAsia="zh-CN"/>
                <w14:textFill>
                  <w14:solidFill>
                    <w14:schemeClr w14:val="tx1"/>
                  </w14:solidFill>
                </w14:textFill>
              </w:rPr>
              <w:t>提供</w:t>
            </w:r>
            <w:r>
              <w:rPr>
                <w:rFonts w:hint="eastAsia" w:ascii="宋体" w:hAnsi="宋体" w:eastAsia="宋体" w:cs="宋体"/>
                <w:color w:val="000000" w:themeColor="text1"/>
                <w:sz w:val="21"/>
                <w:szCs w:val="21"/>
                <w:highlight w:val="none"/>
                <w14:textFill>
                  <w14:solidFill>
                    <w14:schemeClr w14:val="tx1"/>
                  </w14:solidFill>
                </w14:textFill>
              </w:rPr>
              <w:t>证明资料</w:t>
            </w:r>
            <w:r>
              <w:rPr>
                <w:rFonts w:hint="eastAsia" w:cs="宋体"/>
                <w:color w:val="000000" w:themeColor="text1"/>
                <w:sz w:val="21"/>
                <w:szCs w:val="21"/>
                <w:highlight w:val="none"/>
                <w:lang w:eastAsia="zh-CN"/>
                <w14:textFill>
                  <w14:solidFill>
                    <w14:schemeClr w14:val="tx1"/>
                  </w14:solidFill>
                </w14:textFill>
              </w:rPr>
              <w:t>。</w:t>
            </w:r>
          </w:p>
        </w:tc>
      </w:tr>
      <w:tr w14:paraId="74B14C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992" w:type="dxa"/>
            <w:noWrap w:val="0"/>
            <w:vAlign w:val="center"/>
          </w:tcPr>
          <w:p w14:paraId="78DD95F5">
            <w:pPr>
              <w:pStyle w:val="17"/>
              <w:keepLines w:val="0"/>
              <w:pageBreakBefore w:val="0"/>
              <w:overflowPunct w:val="0"/>
              <w:topLinePunct w:val="0"/>
              <w:bidi w:val="0"/>
              <w:spacing w:before="0" w:beforeAutospacing="0" w:after="0" w:afterAutospacing="0" w:line="5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8367" w:type="dxa"/>
            <w:shd w:val="clear" w:color="auto" w:fill="auto"/>
            <w:noWrap w:val="0"/>
            <w:vAlign w:val="center"/>
          </w:tcPr>
          <w:p w14:paraId="733C7E7F">
            <w:pPr>
              <w:pStyle w:val="17"/>
              <w:keepLines w:val="0"/>
              <w:pageBreakBefore w:val="0"/>
              <w:overflowPunct w:val="0"/>
              <w:topLinePunct w:val="0"/>
              <w:bidi w:val="0"/>
              <w:spacing w:before="0" w:beforeAutospacing="0" w:after="0" w:afterAutospacing="0" w:line="500" w:lineRule="exact"/>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合同履行期限</w:t>
            </w:r>
            <w:r>
              <w:rPr>
                <w:rFonts w:hint="eastAsia" w:ascii="宋体" w:hAnsi="宋体" w:eastAsia="宋体" w:cs="宋体"/>
                <w:color w:val="000000" w:themeColor="text1"/>
                <w:sz w:val="21"/>
                <w:szCs w:val="21"/>
                <w:highlight w:val="none"/>
                <w14:textFill>
                  <w14:solidFill>
                    <w14:schemeClr w14:val="tx1"/>
                  </w14:solidFill>
                </w14:textFill>
              </w:rPr>
              <w:t>是否满足要求</w:t>
            </w:r>
            <w:r>
              <w:rPr>
                <w:rFonts w:hint="eastAsia" w:cs="宋体"/>
                <w:color w:val="000000" w:themeColor="text1"/>
                <w:sz w:val="21"/>
                <w:szCs w:val="21"/>
                <w:highlight w:val="none"/>
                <w:lang w:eastAsia="zh-CN"/>
                <w14:textFill>
                  <w14:solidFill>
                    <w14:schemeClr w14:val="tx1"/>
                  </w14:solidFill>
                </w14:textFill>
              </w:rPr>
              <w:t>。</w:t>
            </w:r>
          </w:p>
        </w:tc>
      </w:tr>
    </w:tbl>
    <w:p w14:paraId="2178B05B">
      <w:pPr>
        <w:pStyle w:val="5"/>
        <w:keepLines w:val="0"/>
        <w:pageBreakBefore w:val="0"/>
        <w:numPr>
          <w:ilvl w:val="0"/>
          <w:numId w:val="0"/>
        </w:numPr>
        <w:overflowPunct w:val="0"/>
        <w:topLinePunct w:val="0"/>
        <w:bidi w:val="0"/>
        <w:ind w:left="0" w:leftChars="0" w:firstLine="0" w:firstLineChars="0"/>
        <w:jc w:val="left"/>
        <w:outlineLvl w:val="9"/>
        <w:rPr>
          <w:rFonts w:hint="eastAsia" w:ascii="宋体" w:hAnsi="宋体" w:eastAsia="宋体" w:cs="宋体"/>
          <w:b/>
          <w:bCs/>
          <w:color w:val="000000" w:themeColor="text1"/>
          <w:sz w:val="28"/>
          <w:szCs w:val="28"/>
          <w:highlight w:val="none"/>
          <w14:textFill>
            <w14:solidFill>
              <w14:schemeClr w14:val="tx1"/>
            </w14:solidFill>
          </w14:textFill>
        </w:rPr>
      </w:pPr>
    </w:p>
    <w:p w14:paraId="0DD4A71F">
      <w:pPr>
        <w:keepLines w:val="0"/>
        <w:pageBreakBefore w:val="0"/>
        <w:overflowPunct w:val="0"/>
        <w:topLinePunct w:val="0"/>
        <w:bidi w:val="0"/>
        <w:rPr>
          <w:rFonts w:hint="eastAsia" w:ascii="宋体" w:hAnsi="宋体" w:eastAsia="宋体" w:cs="宋体"/>
          <w:b/>
          <w:bCs/>
          <w:color w:val="000000" w:themeColor="text1"/>
          <w:sz w:val="28"/>
          <w:szCs w:val="28"/>
          <w:highlight w:val="none"/>
          <w14:textFill>
            <w14:solidFill>
              <w14:schemeClr w14:val="tx1"/>
            </w14:solidFill>
          </w14:textFill>
        </w:rPr>
      </w:pPr>
    </w:p>
    <w:p w14:paraId="6D67EDD7">
      <w:pPr>
        <w:keepLines w:val="0"/>
        <w:pageBreakBefore w:val="0"/>
        <w:overflowPunct w:val="0"/>
        <w:topLinePunct w:val="0"/>
        <w:bidi w:val="0"/>
        <w:rPr>
          <w:rFonts w:hint="eastAsia" w:ascii="宋体" w:hAnsi="宋体" w:eastAsia="宋体" w:cs="宋体"/>
          <w:b/>
          <w:bCs/>
          <w:color w:val="000000" w:themeColor="text1"/>
          <w:sz w:val="28"/>
          <w:szCs w:val="28"/>
          <w:highlight w:val="none"/>
          <w14:textFill>
            <w14:solidFill>
              <w14:schemeClr w14:val="tx1"/>
            </w14:solidFill>
          </w14:textFill>
        </w:rPr>
      </w:pPr>
    </w:p>
    <w:p w14:paraId="6B9FA941">
      <w:pPr>
        <w:keepLines w:val="0"/>
        <w:pageBreakBefore w:val="0"/>
        <w:overflowPunct w:val="0"/>
        <w:topLinePunct w:val="0"/>
        <w:bidi w:val="0"/>
        <w:rPr>
          <w:rFonts w:hint="eastAsia" w:ascii="宋体" w:hAnsi="宋体" w:eastAsia="宋体" w:cs="宋体"/>
          <w:b/>
          <w:bCs/>
          <w:color w:val="000000" w:themeColor="text1"/>
          <w:sz w:val="28"/>
          <w:szCs w:val="28"/>
          <w:highlight w:val="none"/>
          <w14:textFill>
            <w14:solidFill>
              <w14:schemeClr w14:val="tx1"/>
            </w14:solidFill>
          </w14:textFill>
        </w:rPr>
      </w:pPr>
    </w:p>
    <w:p w14:paraId="0DBE2260">
      <w:pPr>
        <w:keepLines w:val="0"/>
        <w:pageBreakBefore w:val="0"/>
        <w:overflowPunct w:val="0"/>
        <w:topLinePunct w:val="0"/>
        <w:bidi w:val="0"/>
        <w:rPr>
          <w:rFonts w:hint="eastAsia" w:ascii="宋体" w:hAnsi="宋体" w:eastAsia="宋体" w:cs="宋体"/>
          <w:b/>
          <w:bCs/>
          <w:color w:val="000000" w:themeColor="text1"/>
          <w:sz w:val="28"/>
          <w:szCs w:val="28"/>
          <w:highlight w:val="none"/>
          <w14:textFill>
            <w14:solidFill>
              <w14:schemeClr w14:val="tx1"/>
            </w14:solidFill>
          </w14:textFill>
        </w:rPr>
      </w:pPr>
    </w:p>
    <w:p w14:paraId="4AD09DA5">
      <w:pPr>
        <w:pStyle w:val="5"/>
        <w:keepLines w:val="0"/>
        <w:pageBreakBefore w:val="0"/>
        <w:numPr>
          <w:ilvl w:val="0"/>
          <w:numId w:val="0"/>
        </w:numPr>
        <w:overflowPunct w:val="0"/>
        <w:topLinePunct w:val="0"/>
        <w:bidi w:val="0"/>
        <w:ind w:left="0" w:leftChars="0" w:firstLine="0" w:firstLineChars="0"/>
        <w:jc w:val="left"/>
        <w:outlineLvl w:val="9"/>
        <w:rPr>
          <w:rFonts w:hint="eastAsia" w:ascii="宋体" w:hAnsi="宋体" w:eastAsia="宋体" w:cs="宋体"/>
          <w:b/>
          <w:bCs/>
          <w:color w:val="000000" w:themeColor="text1"/>
          <w:sz w:val="28"/>
          <w:szCs w:val="28"/>
          <w:highlight w:val="none"/>
          <w14:textFill>
            <w14:solidFill>
              <w14:schemeClr w14:val="tx1"/>
            </w14:solidFill>
          </w14:textFill>
        </w:rPr>
      </w:pPr>
    </w:p>
    <w:p w14:paraId="61472D23">
      <w:pPr>
        <w:keepLines w:val="0"/>
        <w:pageBreakBefore w:val="0"/>
        <w:overflowPunct w:val="0"/>
        <w:topLinePunct w:val="0"/>
        <w:bidi w:val="0"/>
        <w:rPr>
          <w:rFonts w:hint="eastAsia" w:ascii="宋体" w:hAnsi="宋体" w:eastAsia="宋体" w:cs="宋体"/>
          <w:b/>
          <w:bCs/>
          <w:color w:val="000000" w:themeColor="text1"/>
          <w:sz w:val="28"/>
          <w:szCs w:val="28"/>
          <w:highlight w:val="none"/>
          <w14:textFill>
            <w14:solidFill>
              <w14:schemeClr w14:val="tx1"/>
            </w14:solidFill>
          </w14:textFill>
        </w:rPr>
      </w:pPr>
    </w:p>
    <w:p w14:paraId="48E9EF5C">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br w:type="page"/>
      </w:r>
    </w:p>
    <w:bookmarkEnd w:id="18"/>
    <w:p w14:paraId="08C2FE06">
      <w:pPr>
        <w:pStyle w:val="3"/>
        <w:numPr>
          <w:ilvl w:val="0"/>
          <w:numId w:val="0"/>
        </w:numPr>
        <w:bidi w:val="0"/>
        <w:ind w:leftChars="0"/>
        <w:rPr>
          <w:rFonts w:hint="eastAsia"/>
          <w:color w:val="000000" w:themeColor="text1"/>
          <w:highlight w:val="none"/>
          <w14:textFill>
            <w14:solidFill>
              <w14:schemeClr w14:val="tx1"/>
            </w14:solidFill>
          </w14:textFill>
        </w:rPr>
      </w:pPr>
      <w:bookmarkStart w:id="21" w:name="OLE_LINK1"/>
      <w:bookmarkStart w:id="22" w:name="_Toc7891"/>
      <w:bookmarkStart w:id="23" w:name="_Toc222740141"/>
      <w:r>
        <w:rPr>
          <w:rFonts w:hint="eastAsia"/>
          <w:color w:val="000000" w:themeColor="text1"/>
          <w:highlight w:val="none"/>
          <w:lang w:val="en-US" w:eastAsia="zh-CN"/>
          <w14:textFill>
            <w14:solidFill>
              <w14:schemeClr w14:val="tx1"/>
            </w14:solidFill>
          </w14:textFill>
        </w:rPr>
        <w:t>第四章</w:t>
      </w:r>
      <w:r>
        <w:rPr>
          <w:rFonts w:hint="eastAsia"/>
          <w:color w:val="000000" w:themeColor="text1"/>
          <w:highlight w:val="none"/>
          <w14:textFill>
            <w14:solidFill>
              <w14:schemeClr w14:val="tx1"/>
            </w14:solidFill>
          </w14:textFill>
        </w:rPr>
        <w:t xml:space="preserve"> </w:t>
      </w:r>
      <w:bookmarkEnd w:id="21"/>
      <w:r>
        <w:rPr>
          <w:rFonts w:hint="eastAsia"/>
          <w:color w:val="000000" w:themeColor="text1"/>
          <w:highlight w:val="none"/>
          <w14:textFill>
            <w14:solidFill>
              <w14:schemeClr w14:val="tx1"/>
            </w14:solidFill>
          </w14:textFill>
        </w:rPr>
        <w:t>采购内容及技术要求</w:t>
      </w:r>
      <w:bookmarkEnd w:id="22"/>
    </w:p>
    <w:p w14:paraId="6D12AAE6">
      <w:pPr>
        <w:pStyle w:val="6"/>
        <w:keepLines w:val="0"/>
        <w:pageBreakBefore w:val="0"/>
        <w:numPr>
          <w:ilvl w:val="0"/>
          <w:numId w:val="0"/>
        </w:numPr>
        <w:overflowPunct w:val="0"/>
        <w:topLinePunct w:val="0"/>
        <w:bidi w:val="0"/>
        <w:ind w:left="0" w:leftChars="0" w:firstLine="0" w:firstLineChars="0"/>
        <w:jc w:val="both"/>
        <w:outlineLvl w:val="9"/>
        <w:rPr>
          <w:rFonts w:hint="eastAsia" w:ascii="宋体" w:hAnsi="宋体" w:eastAsia="宋体" w:cs="宋体"/>
          <w:color w:val="000000" w:themeColor="text1"/>
          <w:highlight w:val="none"/>
          <w14:textFill>
            <w14:solidFill>
              <w14:schemeClr w14:val="tx1"/>
            </w14:solidFill>
          </w14:textFill>
        </w:rPr>
      </w:pPr>
    </w:p>
    <w:p w14:paraId="7ABB87DA">
      <w:pPr>
        <w:numPr>
          <w:ilvl w:val="0"/>
          <w:numId w:val="8"/>
        </w:numPr>
        <w:spacing w:line="360" w:lineRule="auto"/>
        <w:ind w:left="-62" w:leftChars="0" w:firstLine="482" w:firstLineChars="0"/>
        <w:outlineLvl w:val="1"/>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项目概况</w:t>
      </w:r>
    </w:p>
    <w:p w14:paraId="2C91C3D8">
      <w:pPr>
        <w:numPr>
          <w:ilvl w:val="0"/>
          <w:numId w:val="0"/>
        </w:numPr>
        <w:spacing w:line="360" w:lineRule="auto"/>
        <w:ind w:firstLine="480" w:firstLineChars="20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项目名称:</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增补叶酸预防神经管缺陷项目</w:t>
      </w:r>
    </w:p>
    <w:p w14:paraId="49ECC213">
      <w:pPr>
        <w:numPr>
          <w:ilvl w:val="0"/>
          <w:numId w:val="0"/>
        </w:numPr>
        <w:spacing w:line="360" w:lineRule="auto"/>
        <w:ind w:firstLine="480" w:firstLineChars="20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预算金额：</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400,000.00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元</w:t>
      </w:r>
    </w:p>
    <w:p w14:paraId="1DA1EC0D">
      <w:pPr>
        <w:numPr>
          <w:ilvl w:val="0"/>
          <w:numId w:val="0"/>
        </w:numPr>
        <w:spacing w:line="360" w:lineRule="auto"/>
        <w:ind w:firstLine="480" w:firstLineChars="200"/>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供货期</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2年</w:t>
      </w:r>
    </w:p>
    <w:p w14:paraId="1BE870B9">
      <w:pPr>
        <w:numPr>
          <w:ilvl w:val="0"/>
          <w:numId w:val="0"/>
        </w:numPr>
        <w:spacing w:line="360" w:lineRule="auto"/>
        <w:ind w:firstLine="480" w:firstLineChars="200"/>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供货数量：以甲方通知的为准。</w:t>
      </w:r>
    </w:p>
    <w:p w14:paraId="7744CF5A">
      <w:pPr>
        <w:numPr>
          <w:ilvl w:val="0"/>
          <w:numId w:val="8"/>
        </w:numPr>
        <w:spacing w:line="360" w:lineRule="auto"/>
        <w:ind w:left="-62" w:leftChars="0" w:firstLine="482" w:firstLineChars="0"/>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采购</w:t>
      </w:r>
      <w:r>
        <w:rPr>
          <w:rFonts w:hint="eastAsia" w:ascii="宋体" w:hAnsi="宋体" w:cs="宋体"/>
          <w:b/>
          <w:bCs/>
          <w:color w:val="000000" w:themeColor="text1"/>
          <w:sz w:val="24"/>
          <w:szCs w:val="24"/>
          <w:highlight w:val="none"/>
          <w:lang w:val="en-US" w:eastAsia="zh-CN"/>
          <w14:textFill>
            <w14:solidFill>
              <w14:schemeClr w14:val="tx1"/>
            </w14:solidFill>
          </w14:textFill>
        </w:rPr>
        <w:t>内容及要求</w:t>
      </w:r>
    </w:p>
    <w:p w14:paraId="05A63D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基本要求</w:t>
      </w:r>
    </w:p>
    <w:p w14:paraId="59A5F2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药品剂型：0.4毫克*31片/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瓶或盒</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，用法用量：口服，成人一日1片；</w:t>
      </w:r>
    </w:p>
    <w:p w14:paraId="7C8A89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每盒（或瓶）应足够每人服用一个月（每月按31天计算）；</w:t>
      </w:r>
    </w:p>
    <w:p w14:paraId="3703EA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药品有效期为36个月，实际交付药品时，其有效期不小于30个月；</w:t>
      </w:r>
    </w:p>
    <w:p w14:paraId="3C333C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必须为所提供的药品提供保险服务；</w:t>
      </w:r>
    </w:p>
    <w:p w14:paraId="21A38A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药品外包装必须带有“政府免费提供”字样。</w:t>
      </w:r>
    </w:p>
    <w:p w14:paraId="5F4043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6）提供所投产品省级及以上药检部门出具的药检报告。</w:t>
      </w:r>
    </w:p>
    <w:p w14:paraId="62635C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其他服务要求：</w:t>
      </w:r>
    </w:p>
    <w:p w14:paraId="208E75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知情同意书 ，规格：32开，80克，单面印刷</w:t>
      </w:r>
    </w:p>
    <w:p w14:paraId="1C787E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叶酸项目宣传折页 ，规格：A4，正反彩色印刷，三折页</w:t>
      </w:r>
    </w:p>
    <w:p w14:paraId="284BFE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宣传手提袋 ，规格：面积不小于0.15㎡，便于收纳，布制，多种颜色印制。标注：增补叶酸预防神经管缺陷，政府免费提供字样。</w:t>
      </w:r>
    </w:p>
    <w:p w14:paraId="56EFC5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宣传挂图，规格：铜版彩印，单面对开（84*57）*2宣传内容包括但不限于：国家的免费服务政策、发放人群、领取方式、叶酸的功效、叶酸的作用及如何服用叶酸等。</w:t>
      </w:r>
    </w:p>
    <w:p w14:paraId="68B66E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基层培训：含县区、镇办、村和社区等。</w:t>
      </w:r>
    </w:p>
    <w:p w14:paraId="3E7B82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为服用叶酸片的妇女每人提供一份保险。</w:t>
      </w:r>
    </w:p>
    <w:p w14:paraId="1AAF91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样品：</w:t>
      </w:r>
    </w:p>
    <w:p w14:paraId="31FF31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提供的样品应包含：宣传折页、宣传挂图、宣传袋、叶酸片等四项。叶酸片样品按照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采购内容及要求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第一条中第1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项要求制作；其他样品按照相应要求制作。</w:t>
      </w:r>
    </w:p>
    <w:p w14:paraId="2C3240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投标样品将作为后期验收的依据。</w:t>
      </w:r>
    </w:p>
    <w:p w14:paraId="07B46E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注：知情同意书、叶酸项目宣传折页、宣传手提袋提供的数量为每3瓶叶酸配一套。</w:t>
      </w:r>
    </w:p>
    <w:p w14:paraId="2F350051">
      <w:pPr>
        <w:numPr>
          <w:ilvl w:val="0"/>
          <w:numId w:val="8"/>
        </w:numPr>
        <w:spacing w:line="360" w:lineRule="auto"/>
        <w:ind w:left="-62" w:leftChars="0" w:firstLine="482" w:firstLineChars="0"/>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特别说明</w:t>
      </w:r>
    </w:p>
    <w:p w14:paraId="3FB65E57">
      <w:pPr>
        <w:keepLines w:val="0"/>
        <w:pageBreakBefore w:val="0"/>
        <w:numPr>
          <w:ilvl w:val="0"/>
          <w:numId w:val="0"/>
        </w:numPr>
        <w:tabs>
          <w:tab w:val="left" w:pos="324"/>
        </w:tabs>
        <w:overflowPunct w:val="0"/>
        <w:topLinePunct w:val="0"/>
        <w:bidi w:val="0"/>
        <w:ind w:left="0" w:leftChars="0" w:firstLine="0" w:firstLineChars="0"/>
        <w:jc w:val="both"/>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5831E823">
      <w:pPr>
        <w:keepNext w:val="0"/>
        <w:keepLines w:val="0"/>
        <w:pageBreakBefore w:val="0"/>
        <w:widowControl w:val="0"/>
        <w:numPr>
          <w:ilvl w:val="0"/>
          <w:numId w:val="0"/>
        </w:numPr>
        <w:tabs>
          <w:tab w:val="left" w:pos="324"/>
        </w:tabs>
        <w:kinsoku/>
        <w:wordWrap/>
        <w:overflowPunct w:val="0"/>
        <w:topLinePunct w:val="0"/>
        <w:autoSpaceDE/>
        <w:autoSpaceDN/>
        <w:bidi w:val="0"/>
        <w:adjustRightInd/>
        <w:snapToGrid/>
        <w:spacing w:line="360" w:lineRule="auto"/>
        <w:ind w:left="0" w:leftChars="0" w:firstLine="482" w:firstLineChars="200"/>
        <w:jc w:val="both"/>
        <w:textAlignment w:val="auto"/>
        <w:outlineLvl w:val="9"/>
        <w:rPr>
          <w:rFonts w:hint="default" w:ascii="宋体" w:hAnsi="宋体" w:eastAsia="宋体" w:cs="宋体"/>
          <w:b/>
          <w:bCs/>
          <w:color w:val="000000" w:themeColor="text1"/>
          <w:sz w:val="24"/>
          <w:szCs w:val="24"/>
          <w:highlight w:val="none"/>
          <w:u w:val="singl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供应商需将样品统一放在宣传袋（标明供应名称）中于开标前递交至</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安康市公共资源交易中心</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不见面开标3</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室，未提供完整样品的供应商所递交的投标文件视为无效文件。</w:t>
      </w:r>
    </w:p>
    <w:p w14:paraId="20E782C3">
      <w:pPr>
        <w:keepLines w:val="0"/>
        <w:pageBreakBefore w:val="0"/>
        <w:numPr>
          <w:ilvl w:val="0"/>
          <w:numId w:val="0"/>
        </w:numPr>
        <w:tabs>
          <w:tab w:val="left" w:pos="324"/>
        </w:tabs>
        <w:overflowPunct w:val="0"/>
        <w:topLinePunct w:val="0"/>
        <w:bidi w:val="0"/>
        <w:ind w:left="0" w:leftChars="0" w:firstLine="0" w:firstLineChars="0"/>
        <w:jc w:val="both"/>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05BD9CA7">
      <w:pPr>
        <w:keepLines w:val="0"/>
        <w:pageBreakBefore w:val="0"/>
        <w:numPr>
          <w:ilvl w:val="0"/>
          <w:numId w:val="0"/>
        </w:numPr>
        <w:tabs>
          <w:tab w:val="left" w:pos="324"/>
        </w:tabs>
        <w:overflowPunct w:val="0"/>
        <w:topLinePunct w:val="0"/>
        <w:bidi w:val="0"/>
        <w:ind w:left="0" w:leftChars="0" w:firstLine="0" w:firstLineChars="0"/>
        <w:jc w:val="both"/>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备注：</w:t>
      </w:r>
    </w:p>
    <w:p w14:paraId="33E58818">
      <w:pPr>
        <w:keepNext w:val="0"/>
        <w:keepLines w:val="0"/>
        <w:pageBreakBefore w:val="0"/>
        <w:widowControl w:val="0"/>
        <w:numPr>
          <w:ilvl w:val="0"/>
          <w:numId w:val="0"/>
        </w:numPr>
        <w:tabs>
          <w:tab w:val="left" w:pos="324"/>
        </w:tabs>
        <w:kinsoku/>
        <w:wordWrap/>
        <w:overflowPunct w:val="0"/>
        <w:topLinePunct w:val="0"/>
        <w:autoSpaceDE/>
        <w:autoSpaceDN/>
        <w:bidi w:val="0"/>
        <w:adjustRightInd/>
        <w:snapToGrid/>
        <w:spacing w:line="360" w:lineRule="auto"/>
        <w:ind w:left="0" w:leftChars="0" w:firstLine="482" w:firstLineChars="200"/>
        <w:jc w:val="both"/>
        <w:textAlignment w:val="auto"/>
        <w:outlineLvl w:val="9"/>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1、供应商投标报价含管理费、运输费、搬运费、利润、税金、保险等的一切费用；</w:t>
      </w:r>
    </w:p>
    <w:p w14:paraId="7A3496FD">
      <w:pPr>
        <w:keepNext w:val="0"/>
        <w:keepLines w:val="0"/>
        <w:pageBreakBefore w:val="0"/>
        <w:widowControl w:val="0"/>
        <w:numPr>
          <w:ilvl w:val="0"/>
          <w:numId w:val="0"/>
        </w:numPr>
        <w:tabs>
          <w:tab w:val="left" w:pos="324"/>
        </w:tabs>
        <w:kinsoku/>
        <w:wordWrap/>
        <w:overflowPunct w:val="0"/>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本项目以单价报价，叶酸单价上限为4.00元/（瓶或盒），超过限价的报价视为无效文件，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货物数量结算方式，以最终实际发生的货物数量经甲乙双方核实确定后结算。</w:t>
      </w:r>
    </w:p>
    <w:p w14:paraId="5D210B81">
      <w:pPr>
        <w:pStyle w:val="1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1B8EBE3E">
      <w:pPr>
        <w:rPr>
          <w:rFonts w:hint="eastAsia"/>
          <w:color w:val="000000" w:themeColor="text1"/>
          <w:lang w:val="en-US" w:eastAsia="zh-CN"/>
          <w14:textFill>
            <w14:solidFill>
              <w14:schemeClr w14:val="tx1"/>
            </w14:solidFill>
          </w14:textFill>
        </w:rPr>
        <w:sectPr>
          <w:footerReference r:id="rId5" w:type="default"/>
          <w:footnotePr>
            <w:numFmt w:val="decimalEnclosedCircleChinese"/>
            <w:numRestart w:val="eachPage"/>
          </w:footnotePr>
          <w:pgSz w:w="11907" w:h="16840"/>
          <w:pgMar w:top="1440" w:right="1361" w:bottom="1440" w:left="1361" w:header="720" w:footer="624" w:gutter="0"/>
          <w:pgBorders>
            <w:top w:val="none" w:sz="0" w:space="0"/>
            <w:left w:val="none" w:sz="0" w:space="0"/>
            <w:bottom w:val="none" w:sz="0" w:space="0"/>
            <w:right w:val="none" w:sz="0" w:space="0"/>
          </w:pgBorders>
          <w:pgNumType w:fmt="numberInDash"/>
          <w:cols w:space="720" w:num="1"/>
        </w:sectPr>
      </w:pPr>
    </w:p>
    <w:p w14:paraId="2B60E432">
      <w:pPr>
        <w:pStyle w:val="3"/>
        <w:numPr>
          <w:ilvl w:val="0"/>
          <w:numId w:val="0"/>
        </w:numPr>
        <w:bidi w:val="0"/>
        <w:ind w:leftChars="0"/>
        <w:rPr>
          <w:rFonts w:hint="eastAsia" w:hAnsi="Times New Roman" w:cs="Times New Roman"/>
          <w:color w:val="000000" w:themeColor="text1"/>
          <w:highlight w:val="none"/>
          <w:lang w:val="en-US" w:eastAsia="zh-CN"/>
          <w14:textFill>
            <w14:solidFill>
              <w14:schemeClr w14:val="tx1"/>
            </w14:solidFill>
          </w14:textFill>
        </w:rPr>
      </w:pPr>
      <w:bookmarkStart w:id="24" w:name="_Toc17353"/>
      <w:r>
        <w:rPr>
          <w:rFonts w:hint="eastAsia" w:hAnsi="Times New Roman" w:cs="Times New Roman"/>
          <w:color w:val="000000" w:themeColor="text1"/>
          <w:highlight w:val="none"/>
          <w:lang w:val="en-US" w:eastAsia="zh-CN"/>
          <w14:textFill>
            <w14:solidFill>
              <w14:schemeClr w14:val="tx1"/>
            </w14:solidFill>
          </w14:textFill>
        </w:rPr>
        <w:t xml:space="preserve">第五章  </w:t>
      </w:r>
      <w:r>
        <w:rPr>
          <w:rFonts w:hint="eastAsia" w:cs="Times New Roman"/>
          <w:color w:val="000000" w:themeColor="text1"/>
          <w:highlight w:val="none"/>
          <w:lang w:val="en-US" w:eastAsia="zh-CN"/>
          <w14:textFill>
            <w14:solidFill>
              <w14:schemeClr w14:val="tx1"/>
            </w14:solidFill>
          </w14:textFill>
        </w:rPr>
        <w:t>商务</w:t>
      </w:r>
      <w:bookmarkEnd w:id="24"/>
      <w:r>
        <w:rPr>
          <w:rFonts w:hint="eastAsia" w:cs="Times New Roman"/>
          <w:color w:val="000000" w:themeColor="text1"/>
          <w:highlight w:val="none"/>
          <w:lang w:val="en-US" w:eastAsia="zh-CN"/>
          <w14:textFill>
            <w14:solidFill>
              <w14:schemeClr w14:val="tx1"/>
            </w14:solidFill>
          </w14:textFill>
        </w:rPr>
        <w:t>要求</w:t>
      </w:r>
    </w:p>
    <w:p w14:paraId="2C5B07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1、交货期</w:t>
      </w:r>
    </w:p>
    <w:p w14:paraId="652011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合同签订后以采购人实际情况供货。</w:t>
      </w:r>
    </w:p>
    <w:p w14:paraId="659C5F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2、交货地点</w:t>
      </w:r>
    </w:p>
    <w:p w14:paraId="495022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安康市妇幼保健院采购人指定卸货地点。</w:t>
      </w:r>
    </w:p>
    <w:p w14:paraId="2076D6C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3、合同期：2年</w:t>
      </w:r>
    </w:p>
    <w:p w14:paraId="775E81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4、包装、运输及培训要求</w:t>
      </w:r>
    </w:p>
    <w:p w14:paraId="18567B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 （1）包装：应采取防潮、防晒、防腐蚀、防震动及防止其它损坏的必要措施。成交人应承担由于其包装或防护措施不妥而引起的货物锈蚀、损坏和丢失等任何损失造成的责任或费用。</w:t>
      </w:r>
    </w:p>
    <w:p w14:paraId="72B010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（2）运输：选择运输风险小、运费低、距离短的运输路线。运杂费包含在总价内，包括生产厂到供货现场所需的装卸、运输（含保险费）、现场保管费、二次倒运费等费用。</w:t>
      </w:r>
    </w:p>
    <w:p w14:paraId="6B42A1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（3）在投标文件中应明确培训人数、培训时间、培训内容、培训目的、培训地点等。培训费用应单独报价，并含在投标总价中。</w:t>
      </w:r>
    </w:p>
    <w:p w14:paraId="2FB238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5、验收</w:t>
      </w:r>
    </w:p>
    <w:p w14:paraId="35AEB0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成交人对最终的产品质量负全责。</w:t>
      </w:r>
    </w:p>
    <w:p w14:paraId="47A76D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验收依据：                                                                                                                                                                                                                                                                                                                                                                                                                                                                                                                                                                                                                                                                                                                                                                                                                                                                                                                                                                                                                                                                                                                                                                                                                                                                                                                                                                                                                                                                                                                                                                                                                                                                                                                                                                                                                                                                                                                                                                                                                                                                                                                                                                                                                                                                                                                                                                                                                                                         </w:t>
      </w:r>
    </w:p>
    <w:p w14:paraId="1DAC43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符合招标单位与中标单位签订的经济合同；</w:t>
      </w:r>
    </w:p>
    <w:p w14:paraId="62129D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符合招、投标文件的技术要求、商务要求；</w:t>
      </w:r>
    </w:p>
    <w:p w14:paraId="36E5C7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highlight w:val="none"/>
          <w:lang w:val="en-US" w:eastAsia="zh-CN"/>
          <w14:textFill>
            <w14:solidFill>
              <w14:schemeClr w14:val="tx1"/>
            </w14:solidFill>
          </w14:textFill>
        </w:rPr>
        <w:t>③</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符合产品原样本技术数据；</w:t>
      </w:r>
    </w:p>
    <w:p w14:paraId="75F3F8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highlight w:val="none"/>
          <w:lang w:val="en-US" w:eastAsia="zh-CN"/>
          <w14:textFill>
            <w14:solidFill>
              <w14:schemeClr w14:val="tx1"/>
            </w14:solidFill>
          </w14:textFill>
        </w:rPr>
        <w:t>④</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符合国家有关技术规范和标准；</w:t>
      </w:r>
    </w:p>
    <w:p w14:paraId="791868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highlight w:val="none"/>
          <w:lang w:val="en-US" w:eastAsia="zh-CN"/>
          <w14:textFill>
            <w14:solidFill>
              <w14:schemeClr w14:val="tx1"/>
            </w14:solidFill>
          </w14:textFill>
        </w:rPr>
        <w:t>⑤</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如为进口产品，须提供原产地证明和海关手续等资料。</w:t>
      </w:r>
    </w:p>
    <w:p w14:paraId="3CE03A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6、价格</w:t>
      </w:r>
    </w:p>
    <w:p w14:paraId="04EDAF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合同总价包括：管理费、运输费、搬运费、利润、税金、保险等的一切费用。</w:t>
      </w:r>
    </w:p>
    <w:p w14:paraId="082416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结算方式：</w:t>
      </w:r>
    </w:p>
    <w:p w14:paraId="0F3DC5C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分批次供货，每供货一批且验收合格后，三个月内支付当批次货物金额90%的货款，剩余10%待完全满足供货后付清。</w:t>
      </w:r>
    </w:p>
    <w:p w14:paraId="52A864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结算单位：有关部门验收合格后，成交人凭采购验收单、合同、成交通知书及发票原件到相关部门办理结算手续。</w:t>
      </w:r>
    </w:p>
    <w:p w14:paraId="4FDF7E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7、质量保证</w:t>
      </w:r>
    </w:p>
    <w:p w14:paraId="68BA4A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（1）所有产品的质保期为终验合格后不少于30个月。</w:t>
      </w:r>
    </w:p>
    <w:p w14:paraId="2144A4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（2）货物的设计、制造应遵照行业的现行规范和标准。</w:t>
      </w:r>
    </w:p>
    <w:p w14:paraId="666469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（3）所有货物及辅材必须是最新工艺生产的最新产品，质量优良、渠道正当，配置合理。</w:t>
      </w:r>
    </w:p>
    <w:p w14:paraId="5E3561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（4）采购人只对中标人提出质量服务要求，所有涉及货物制造商的有关事项均由中标人负责。</w:t>
      </w:r>
    </w:p>
    <w:p w14:paraId="1287B3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8、违约责任</w:t>
      </w:r>
    </w:p>
    <w:p w14:paraId="1AC657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（1）按《中华人民共和国民法典》中的相关条款执行。</w:t>
      </w:r>
    </w:p>
    <w:p w14:paraId="031E49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（2）未按合同要求提供货物或货物质量不能满足技术要求，采购人有权终止合同，同时报请政府采购管理部门对其违约行为进行追究。</w:t>
      </w:r>
    </w:p>
    <w:p w14:paraId="6C8DE5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9、技术服务：供货时提供以下技术资料</w:t>
      </w:r>
    </w:p>
    <w:p w14:paraId="55150E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（1）装箱清单；</w:t>
      </w:r>
    </w:p>
    <w:p w14:paraId="006FE6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（2）产品合格证；</w:t>
      </w:r>
    </w:p>
    <w:p w14:paraId="44BF88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（3）其他资料按照技术参数要求提供。</w:t>
      </w:r>
    </w:p>
    <w:p w14:paraId="2B8FEF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10、合同争议的解决</w:t>
      </w:r>
    </w:p>
    <w:p w14:paraId="2E13AF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（1）合同执行中发生争议的，当事人双方应协商解决，协议达不成一致时，按《中华人民共和国民法典》中的相关条款可向采购人所在地人民法院提起诉讼。</w:t>
      </w:r>
    </w:p>
    <w:p w14:paraId="106A48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（2）未按合同要求提供产品或产品质量不能满足技术要求，采购人有权终止合同，并对供方违约行为进行追究，同时按《政府采购法》的有关规定进行处罚。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br w:type="textWrapping"/>
      </w:r>
    </w:p>
    <w:p w14:paraId="0B148A94">
      <w:pPr>
        <w:pStyle w:val="3"/>
        <w:keepLines w:val="0"/>
        <w:pageBreakBefore w:val="0"/>
        <w:numPr>
          <w:ilvl w:val="0"/>
          <w:numId w:val="0"/>
        </w:numPr>
        <w:overflowPunct w:val="0"/>
        <w:topLinePunct w:val="0"/>
        <w:bidi w:val="0"/>
        <w:rPr>
          <w:rFonts w:hint="eastAsia" w:hAnsi="Times New Roman" w:cs="Times New Roman"/>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r>
      <w:bookmarkStart w:id="25" w:name="_Toc23994"/>
      <w:bookmarkStart w:id="26" w:name="_Toc7222"/>
      <w:r>
        <w:rPr>
          <w:rFonts w:hint="eastAsia" w:hAnsi="Times New Roman" w:cs="Times New Roman"/>
          <w:color w:val="000000" w:themeColor="text1"/>
          <w:highlight w:val="none"/>
          <w:lang w:val="en-US" w:eastAsia="zh-CN"/>
          <w14:textFill>
            <w14:solidFill>
              <w14:schemeClr w14:val="tx1"/>
            </w14:solidFill>
          </w14:textFill>
        </w:rPr>
        <w:t>第六章  竞争性谈判响应文件格式</w:t>
      </w:r>
      <w:bookmarkEnd w:id="25"/>
      <w:bookmarkEnd w:id="26"/>
    </w:p>
    <w:p w14:paraId="623E3FBE">
      <w:pPr>
        <w:keepLines w:val="0"/>
        <w:pageBreakBefore w:val="0"/>
        <w:overflowPunct w:val="0"/>
        <w:topLinePunct w:val="0"/>
        <w:bidi w:val="0"/>
        <w:spacing w:after="360" w:afterLines="150" w:line="900" w:lineRule="exact"/>
        <w:jc w:val="both"/>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 </w:t>
      </w:r>
      <w:r>
        <w:rPr>
          <w:rFonts w:hint="eastAsia" w:ascii="宋体" w:hAnsi="宋体" w:cs="宋体"/>
          <w:b/>
          <w:color w:val="000000" w:themeColor="text1"/>
          <w:sz w:val="32"/>
          <w:szCs w:val="32"/>
          <w:highlight w:val="none"/>
          <w:lang w:eastAsia="zh-CN"/>
          <w14:textFill>
            <w14:solidFill>
              <w14:schemeClr w14:val="tx1"/>
            </w14:solidFill>
          </w14:textFill>
        </w:rPr>
        <w:t>HHZY-2026-13</w:t>
      </w:r>
    </w:p>
    <w:p w14:paraId="63509F22">
      <w:pPr>
        <w:keepLines w:val="0"/>
        <w:pageBreakBefore w:val="0"/>
        <w:overflowPunct w:val="0"/>
        <w:topLinePunct w:val="0"/>
        <w:bidi w:val="0"/>
        <w:spacing w:after="192" w:afterLines="80"/>
        <w:jc w:val="center"/>
        <w:rPr>
          <w:rFonts w:hint="eastAsia" w:ascii="宋体" w:hAnsi="宋体" w:eastAsia="宋体" w:cs="宋体"/>
          <w:color w:val="000000" w:themeColor="text1"/>
          <w:sz w:val="36"/>
          <w:szCs w:val="36"/>
          <w:highlight w:val="none"/>
          <w14:textFill>
            <w14:solidFill>
              <w14:schemeClr w14:val="tx1"/>
            </w14:solidFill>
          </w14:textFill>
        </w:rPr>
      </w:pPr>
    </w:p>
    <w:p w14:paraId="6A5580BD">
      <w:pPr>
        <w:keepLines w:val="0"/>
        <w:pageBreakBefore w:val="0"/>
        <w:overflowPunct w:val="0"/>
        <w:topLinePunct w:val="0"/>
        <w:bidi w:val="0"/>
        <w:spacing w:after="192" w:afterLines="80"/>
        <w:jc w:val="center"/>
        <w:rPr>
          <w:rFonts w:hint="eastAsia" w:ascii="宋体" w:hAnsi="宋体" w:eastAsia="宋体" w:cs="宋体"/>
          <w:color w:val="000000" w:themeColor="text1"/>
          <w:sz w:val="52"/>
          <w:szCs w:val="52"/>
          <w:highlight w:val="none"/>
          <w:u w:val="single"/>
          <w:lang w:val="en-US"/>
          <w14:textFill>
            <w14:solidFill>
              <w14:schemeClr w14:val="tx1"/>
            </w14:solidFill>
          </w14:textFill>
        </w:rPr>
      </w:pPr>
      <w:r>
        <w:rPr>
          <w:rFonts w:hint="eastAsia" w:ascii="宋体" w:hAnsi="宋体" w:cs="宋体"/>
          <w:b/>
          <w:bCs/>
          <w:color w:val="000000" w:themeColor="text1"/>
          <w:sz w:val="52"/>
          <w:szCs w:val="52"/>
          <w:highlight w:val="none"/>
          <w:lang w:eastAsia="zh-CN"/>
          <w14:textFill>
            <w14:solidFill>
              <w14:schemeClr w14:val="tx1"/>
            </w14:solidFill>
          </w14:textFill>
        </w:rPr>
        <w:t>增补叶酸预防神经管缺陷项目</w:t>
      </w:r>
    </w:p>
    <w:p w14:paraId="1E7B9706">
      <w:pPr>
        <w:keepLines w:val="0"/>
        <w:pageBreakBefore w:val="0"/>
        <w:overflowPunct w:val="0"/>
        <w:topLinePunct w:val="0"/>
        <w:bidi w:val="0"/>
        <w:spacing w:line="600" w:lineRule="exact"/>
        <w:jc w:val="center"/>
        <w:rPr>
          <w:rFonts w:hint="eastAsia" w:ascii="宋体" w:hAnsi="宋体" w:eastAsia="宋体" w:cs="宋体"/>
          <w:b/>
          <w:color w:val="000000" w:themeColor="text1"/>
          <w:sz w:val="36"/>
          <w:highlight w:val="none"/>
          <w14:textFill>
            <w14:solidFill>
              <w14:schemeClr w14:val="tx1"/>
            </w14:solidFill>
          </w14:textFill>
        </w:rPr>
      </w:pPr>
    </w:p>
    <w:p w14:paraId="1203CDE7">
      <w:pPr>
        <w:keepLines w:val="0"/>
        <w:pageBreakBefore w:val="0"/>
        <w:overflowPunct w:val="0"/>
        <w:topLinePunct w:val="0"/>
        <w:bidi w:val="0"/>
        <w:spacing w:line="600" w:lineRule="exact"/>
        <w:jc w:val="center"/>
        <w:rPr>
          <w:rFonts w:hint="eastAsia" w:ascii="宋体" w:hAnsi="宋体" w:eastAsia="宋体" w:cs="宋体"/>
          <w:b/>
          <w:color w:val="000000" w:themeColor="text1"/>
          <w:sz w:val="36"/>
          <w:highlight w:val="none"/>
          <w14:textFill>
            <w14:solidFill>
              <w14:schemeClr w14:val="tx1"/>
            </w14:solidFill>
          </w14:textFill>
        </w:rPr>
      </w:pPr>
    </w:p>
    <w:p w14:paraId="5D0BBE61">
      <w:pPr>
        <w:keepLines w:val="0"/>
        <w:pageBreakBefore w:val="0"/>
        <w:overflowPunct w:val="0"/>
        <w:topLinePunct w:val="0"/>
        <w:bidi w:val="0"/>
        <w:spacing w:line="600" w:lineRule="exact"/>
        <w:jc w:val="center"/>
        <w:rPr>
          <w:rFonts w:hint="eastAsia" w:ascii="宋体" w:hAnsi="宋体" w:eastAsia="宋体" w:cs="宋体"/>
          <w:b/>
          <w:color w:val="000000" w:themeColor="text1"/>
          <w:sz w:val="36"/>
          <w:highlight w:val="none"/>
          <w14:textFill>
            <w14:solidFill>
              <w14:schemeClr w14:val="tx1"/>
            </w14:solidFill>
          </w14:textFill>
        </w:rPr>
      </w:pPr>
    </w:p>
    <w:p w14:paraId="47B7FA5A">
      <w:pPr>
        <w:keepLines w:val="0"/>
        <w:pageBreakBefore w:val="0"/>
        <w:overflowPunct w:val="0"/>
        <w:topLinePunct w:val="0"/>
        <w:bidi w:val="0"/>
        <w:spacing w:after="48" w:afterLines="20"/>
        <w:jc w:val="center"/>
        <w:rPr>
          <w:rFonts w:hint="eastAsia" w:ascii="宋体" w:hAnsi="宋体" w:eastAsia="宋体" w:cs="宋体"/>
          <w:bCs/>
          <w:color w:val="000000" w:themeColor="text1"/>
          <w:sz w:val="84"/>
          <w:szCs w:val="84"/>
          <w:highlight w:val="none"/>
          <w14:textFill>
            <w14:solidFill>
              <w14:schemeClr w14:val="tx1"/>
            </w14:solidFill>
          </w14:textFill>
        </w:rPr>
      </w:pPr>
      <w:r>
        <w:rPr>
          <w:rFonts w:hint="eastAsia" w:ascii="宋体" w:hAnsi="宋体" w:eastAsia="宋体" w:cs="宋体"/>
          <w:bCs/>
          <w:color w:val="000000" w:themeColor="text1"/>
          <w:sz w:val="72"/>
          <w:szCs w:val="72"/>
          <w:highlight w:val="none"/>
          <w14:textFill>
            <w14:solidFill>
              <w14:schemeClr w14:val="tx1"/>
            </w14:solidFill>
          </w14:textFill>
        </w:rPr>
        <w:t>竞争性谈判响应文件</w:t>
      </w:r>
    </w:p>
    <w:p w14:paraId="7C84EDA0">
      <w:pPr>
        <w:keepLines w:val="0"/>
        <w:pageBreakBefore w:val="0"/>
        <w:overflowPunct w:val="0"/>
        <w:topLinePunct w:val="0"/>
        <w:bidi w:val="0"/>
        <w:spacing w:line="700" w:lineRule="exact"/>
        <w:jc w:val="center"/>
        <w:rPr>
          <w:rFonts w:hint="eastAsia" w:ascii="宋体" w:hAnsi="宋体" w:eastAsia="宋体" w:cs="宋体"/>
          <w:color w:val="000000" w:themeColor="text1"/>
          <w:sz w:val="24"/>
          <w:highlight w:val="none"/>
          <w:u w:val="single"/>
          <w14:textFill>
            <w14:solidFill>
              <w14:schemeClr w14:val="tx1"/>
            </w14:solidFill>
          </w14:textFill>
        </w:rPr>
      </w:pPr>
    </w:p>
    <w:p w14:paraId="749C47D2">
      <w:pPr>
        <w:keepLines w:val="0"/>
        <w:pageBreakBefore w:val="0"/>
        <w:overflowPunct w:val="0"/>
        <w:topLinePunct w:val="0"/>
        <w:bidi w:val="0"/>
        <w:rPr>
          <w:rFonts w:hint="eastAsia" w:ascii="宋体" w:hAnsi="宋体" w:eastAsia="宋体" w:cs="宋体"/>
          <w:b/>
          <w:color w:val="000000" w:themeColor="text1"/>
          <w:sz w:val="52"/>
          <w:highlight w:val="none"/>
          <w14:textFill>
            <w14:solidFill>
              <w14:schemeClr w14:val="tx1"/>
            </w14:solidFill>
          </w14:textFill>
        </w:rPr>
      </w:pPr>
    </w:p>
    <w:p w14:paraId="42C269E2">
      <w:pPr>
        <w:keepLines w:val="0"/>
        <w:pageBreakBefore w:val="0"/>
        <w:overflowPunct w:val="0"/>
        <w:topLinePunct w:val="0"/>
        <w:bidi w:val="0"/>
        <w:rPr>
          <w:rFonts w:hint="eastAsia" w:ascii="宋体" w:hAnsi="宋体" w:eastAsia="宋体" w:cs="宋体"/>
          <w:b/>
          <w:color w:val="000000" w:themeColor="text1"/>
          <w:sz w:val="52"/>
          <w:highlight w:val="none"/>
          <w14:textFill>
            <w14:solidFill>
              <w14:schemeClr w14:val="tx1"/>
            </w14:solidFill>
          </w14:textFill>
        </w:rPr>
      </w:pPr>
    </w:p>
    <w:p w14:paraId="042E84CF">
      <w:pPr>
        <w:keepLines w:val="0"/>
        <w:pageBreakBefore w:val="0"/>
        <w:overflowPunct w:val="0"/>
        <w:topLinePunct w:val="0"/>
        <w:bidi w:val="0"/>
        <w:rPr>
          <w:rFonts w:hint="eastAsia" w:ascii="宋体" w:hAnsi="宋体" w:eastAsia="宋体" w:cs="宋体"/>
          <w:color w:val="000000" w:themeColor="text1"/>
          <w:sz w:val="30"/>
          <w:highlight w:val="none"/>
          <w:u w:val="single"/>
          <w:vertAlign w:val="subscript"/>
          <w14:textFill>
            <w14:solidFill>
              <w14:schemeClr w14:val="tx1"/>
            </w14:solidFill>
          </w14:textFill>
        </w:rPr>
      </w:pPr>
    </w:p>
    <w:p w14:paraId="59C71FDE">
      <w:pPr>
        <w:keepLines w:val="0"/>
        <w:pageBreakBefore w:val="0"/>
        <w:overflowPunct w:val="0"/>
        <w:topLinePunct w:val="0"/>
        <w:bidi w:val="0"/>
        <w:rPr>
          <w:rFonts w:hint="eastAsia" w:ascii="宋体" w:hAnsi="宋体" w:eastAsia="宋体" w:cs="宋体"/>
          <w:color w:val="000000" w:themeColor="text1"/>
          <w:sz w:val="30"/>
          <w:highlight w:val="none"/>
          <w:u w:val="single"/>
          <w:vertAlign w:val="subscript"/>
          <w14:textFill>
            <w14:solidFill>
              <w14:schemeClr w14:val="tx1"/>
            </w14:solidFill>
          </w14:textFill>
        </w:rPr>
      </w:pPr>
    </w:p>
    <w:p w14:paraId="460BA7FA">
      <w:pPr>
        <w:keepLines w:val="0"/>
        <w:pageBreakBefore w:val="0"/>
        <w:overflowPunct w:val="0"/>
        <w:topLinePunct w:val="0"/>
        <w:bidi w:val="0"/>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 xml:space="preserve">              </w:t>
      </w:r>
    </w:p>
    <w:p w14:paraId="31277E15">
      <w:pPr>
        <w:keepLines w:val="0"/>
        <w:pageBreakBefore w:val="0"/>
        <w:overflowPunct w:val="0"/>
        <w:topLinePunct w:val="0"/>
        <w:bidi w:val="0"/>
        <w:spacing w:after="192" w:afterLines="80"/>
        <w:ind w:firstLine="1506" w:firstLineChars="500"/>
        <w:rPr>
          <w:rFonts w:hint="eastAsia" w:ascii="宋体" w:hAnsi="宋体" w:eastAsia="宋体" w:cs="宋体"/>
          <w:b/>
          <w:bCs/>
          <w:color w:val="000000" w:themeColor="text1"/>
          <w:sz w:val="30"/>
          <w:highlight w:val="none"/>
          <w:u w:val="single"/>
          <w14:textFill>
            <w14:solidFill>
              <w14:schemeClr w14:val="tx1"/>
            </w14:solidFill>
          </w14:textFill>
        </w:rPr>
      </w:pPr>
      <w:r>
        <w:rPr>
          <w:rFonts w:hint="eastAsia" w:ascii="宋体" w:hAnsi="宋体" w:eastAsia="宋体" w:cs="宋体"/>
          <w:b/>
          <w:bCs/>
          <w:color w:val="000000" w:themeColor="text1"/>
          <w:sz w:val="30"/>
          <w:highlight w:val="none"/>
          <w14:textFill>
            <w14:solidFill>
              <w14:schemeClr w14:val="tx1"/>
            </w14:solidFill>
          </w14:textFill>
        </w:rPr>
        <w:t>供应商：</w:t>
      </w:r>
      <w:r>
        <w:rPr>
          <w:rFonts w:hint="eastAsia" w:ascii="宋体" w:hAnsi="宋体" w:eastAsia="宋体" w:cs="宋体"/>
          <w:b/>
          <w:bCs/>
          <w:color w:val="000000" w:themeColor="text1"/>
          <w:sz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highlight w:val="none"/>
          <w14:textFill>
            <w14:solidFill>
              <w14:schemeClr w14:val="tx1"/>
            </w14:solidFill>
          </w14:textFill>
        </w:rPr>
        <w:t>（盖章）</w:t>
      </w:r>
    </w:p>
    <w:p w14:paraId="626760BC">
      <w:pPr>
        <w:keepLines w:val="0"/>
        <w:pageBreakBefore w:val="0"/>
        <w:overflowPunct w:val="0"/>
        <w:topLinePunct w:val="0"/>
        <w:bidi w:val="0"/>
        <w:rPr>
          <w:rFonts w:hint="eastAsia" w:ascii="宋体" w:hAnsi="宋体" w:eastAsia="宋体" w:cs="宋体"/>
          <w:b/>
          <w:bCs/>
          <w:color w:val="000000" w:themeColor="text1"/>
          <w:sz w:val="30"/>
          <w:highlight w:val="none"/>
          <w14:textFill>
            <w14:solidFill>
              <w14:schemeClr w14:val="tx1"/>
            </w14:solidFill>
          </w14:textFill>
        </w:rPr>
      </w:pPr>
      <w:r>
        <w:rPr>
          <w:rFonts w:hint="eastAsia" w:ascii="宋体" w:hAnsi="宋体" w:eastAsia="宋体" w:cs="宋体"/>
          <w:b/>
          <w:bCs/>
          <w:color w:val="000000" w:themeColor="text1"/>
          <w:sz w:val="30"/>
          <w:highlight w:val="none"/>
          <w14:textFill>
            <w14:solidFill>
              <w14:schemeClr w14:val="tx1"/>
            </w14:solidFill>
          </w14:textFill>
        </w:rPr>
        <w:t xml:space="preserve">              </w:t>
      </w:r>
    </w:p>
    <w:p w14:paraId="788DC9AD">
      <w:pPr>
        <w:keepLines w:val="0"/>
        <w:pageBreakBefore w:val="0"/>
        <w:overflowPunct w:val="0"/>
        <w:topLinePunct w:val="0"/>
        <w:bidi w:val="0"/>
        <w:ind w:firstLine="1506" w:firstLineChars="500"/>
        <w:rPr>
          <w:rFonts w:hint="eastAsia" w:ascii="宋体" w:hAnsi="宋体" w:eastAsia="宋体" w:cs="宋体"/>
          <w:b/>
          <w:bCs/>
          <w:color w:val="000000" w:themeColor="text1"/>
          <w:sz w:val="30"/>
          <w:highlight w:val="none"/>
          <w14:textFill>
            <w14:solidFill>
              <w14:schemeClr w14:val="tx1"/>
            </w14:solidFill>
          </w14:textFill>
        </w:rPr>
      </w:pPr>
      <w:r>
        <w:rPr>
          <w:rFonts w:hint="eastAsia" w:ascii="宋体" w:hAnsi="宋体" w:eastAsia="宋体" w:cs="宋体"/>
          <w:b/>
          <w:bCs/>
          <w:color w:val="000000" w:themeColor="text1"/>
          <w:sz w:val="30"/>
          <w:highlight w:val="none"/>
          <w14:textFill>
            <w14:solidFill>
              <w14:schemeClr w14:val="tx1"/>
            </w14:solidFill>
          </w14:textFill>
        </w:rPr>
        <w:t>法定代表人或其委托代理人：</w:t>
      </w:r>
      <w:r>
        <w:rPr>
          <w:rFonts w:hint="eastAsia" w:ascii="宋体" w:hAnsi="宋体" w:eastAsia="宋体" w:cs="宋体"/>
          <w:b/>
          <w:bCs/>
          <w:color w:val="000000" w:themeColor="text1"/>
          <w:sz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highlight w:val="none"/>
          <w14:textFill>
            <w14:solidFill>
              <w14:schemeClr w14:val="tx1"/>
            </w14:solidFill>
          </w14:textFill>
        </w:rPr>
        <w:t>（签字）</w:t>
      </w:r>
    </w:p>
    <w:p w14:paraId="5FCAA4BB">
      <w:pPr>
        <w:keepLines w:val="0"/>
        <w:pageBreakBefore w:val="0"/>
        <w:overflowPunct w:val="0"/>
        <w:topLinePunct w:val="0"/>
        <w:bidi w:val="0"/>
        <w:spacing w:line="400" w:lineRule="exact"/>
        <w:rPr>
          <w:rFonts w:hint="eastAsia" w:ascii="宋体" w:hAnsi="宋体" w:eastAsia="宋体" w:cs="宋体"/>
          <w:b/>
          <w:bCs/>
          <w:color w:val="000000" w:themeColor="text1"/>
          <w:sz w:val="30"/>
          <w:highlight w:val="none"/>
          <w14:textFill>
            <w14:solidFill>
              <w14:schemeClr w14:val="tx1"/>
            </w14:solidFill>
          </w14:textFill>
        </w:rPr>
      </w:pPr>
    </w:p>
    <w:p w14:paraId="2BA9CA6F">
      <w:pPr>
        <w:keepLines w:val="0"/>
        <w:pageBreakBefore w:val="0"/>
        <w:overflowPunct w:val="0"/>
        <w:topLinePunct w:val="0"/>
        <w:bidi w:val="0"/>
        <w:spacing w:before="240" w:beforeLines="100"/>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highlight w:val="none"/>
          <w14:textFill>
            <w14:solidFill>
              <w14:schemeClr w14:val="tx1"/>
            </w14:solidFill>
          </w14:textFill>
        </w:rPr>
        <w:t xml:space="preserve">   </w:t>
      </w:r>
      <w:r>
        <w:rPr>
          <w:rFonts w:hint="eastAsia" w:ascii="宋体" w:hAnsi="宋体" w:eastAsia="宋体" w:cs="宋体"/>
          <w:b/>
          <w:bCs/>
          <w:color w:val="000000" w:themeColor="text1"/>
          <w:sz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highlight w:val="none"/>
          <w14:textFill>
            <w14:solidFill>
              <w14:schemeClr w14:val="tx1"/>
            </w14:solidFill>
          </w14:textFill>
        </w:rPr>
        <w:t>年</w:t>
      </w:r>
      <w:r>
        <w:rPr>
          <w:rFonts w:hint="eastAsia" w:ascii="宋体" w:hAnsi="宋体" w:eastAsia="宋体" w:cs="宋体"/>
          <w:b/>
          <w:bCs/>
          <w:color w:val="000000" w:themeColor="text1"/>
          <w:sz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highlight w:val="none"/>
          <w14:textFill>
            <w14:solidFill>
              <w14:schemeClr w14:val="tx1"/>
            </w14:solidFill>
          </w14:textFill>
        </w:rPr>
        <w:t>月</w:t>
      </w:r>
      <w:r>
        <w:rPr>
          <w:rFonts w:hint="eastAsia" w:ascii="宋体" w:hAnsi="宋体" w:eastAsia="宋体" w:cs="宋体"/>
          <w:b/>
          <w:bCs/>
          <w:color w:val="000000" w:themeColor="text1"/>
          <w:sz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highlight w:val="none"/>
          <w14:textFill>
            <w14:solidFill>
              <w14:schemeClr w14:val="tx1"/>
            </w14:solidFill>
          </w14:textFill>
        </w:rPr>
        <w:t>日</w:t>
      </w:r>
    </w:p>
    <w:p w14:paraId="3AD5438F">
      <w:pPr>
        <w:keepLines w:val="0"/>
        <w:pageBreakBefore w:val="0"/>
        <w:overflowPunct w:val="0"/>
        <w:topLinePunct w:val="0"/>
        <w:bidi w:val="0"/>
        <w:spacing w:line="600" w:lineRule="exact"/>
        <w:rPr>
          <w:rFonts w:hint="eastAsia" w:ascii="宋体" w:hAnsi="宋体" w:eastAsia="宋体" w:cs="宋体"/>
          <w:b/>
          <w:bCs/>
          <w:color w:val="000000" w:themeColor="text1"/>
          <w:sz w:val="30"/>
          <w:highlight w:val="none"/>
          <w14:textFill>
            <w14:solidFill>
              <w14:schemeClr w14:val="tx1"/>
            </w14:solidFill>
          </w14:textFill>
        </w:rPr>
      </w:pPr>
    </w:p>
    <w:p w14:paraId="0B66F2CD">
      <w:pPr>
        <w:keepLines w:val="0"/>
        <w:pageBreakBefore w:val="0"/>
        <w:overflowPunct w:val="0"/>
        <w:topLinePunct w:val="0"/>
        <w:bidi w:val="0"/>
        <w:spacing w:line="600" w:lineRule="exact"/>
        <w:jc w:val="center"/>
        <w:rPr>
          <w:rFonts w:hint="eastAsia" w:ascii="宋体" w:hAnsi="宋体" w:eastAsia="宋体" w:cs="宋体"/>
          <w:b/>
          <w:bCs/>
          <w:color w:val="000000" w:themeColor="text1"/>
          <w:sz w:val="30"/>
          <w:highlight w:val="none"/>
          <w14:textFill>
            <w14:solidFill>
              <w14:schemeClr w14:val="tx1"/>
            </w14:solidFill>
          </w14:textFill>
        </w:rPr>
      </w:pPr>
    </w:p>
    <w:p w14:paraId="5BF15D5C">
      <w:pPr>
        <w:keepLines w:val="0"/>
        <w:pageBreakBefore w:val="0"/>
        <w:overflowPunct w:val="0"/>
        <w:topLinePunct w:val="0"/>
        <w:bidi w:val="0"/>
        <w:spacing w:line="600" w:lineRule="exact"/>
        <w:jc w:val="center"/>
        <w:rPr>
          <w:rFonts w:hint="eastAsia" w:ascii="宋体" w:hAnsi="宋体" w:eastAsia="宋体" w:cs="宋体"/>
          <w:b/>
          <w:bCs/>
          <w:color w:val="000000" w:themeColor="text1"/>
          <w:sz w:val="30"/>
          <w:highlight w:val="none"/>
          <w14:textFill>
            <w14:solidFill>
              <w14:schemeClr w14:val="tx1"/>
            </w14:solidFill>
          </w14:textFill>
        </w:rPr>
      </w:pPr>
    </w:p>
    <w:p w14:paraId="7238DE04">
      <w:pPr>
        <w:keepLines w:val="0"/>
        <w:pageBreakBefore w:val="0"/>
        <w:overflowPunct w:val="0"/>
        <w:topLinePunct w:val="0"/>
        <w:bidi w:val="0"/>
        <w:spacing w:line="600" w:lineRule="exact"/>
        <w:jc w:val="center"/>
        <w:outlineLvl w:val="0"/>
        <w:rPr>
          <w:rFonts w:hint="eastAsia" w:ascii="宋体" w:hAnsi="宋体" w:eastAsia="宋体" w:cs="宋体"/>
          <w:b/>
          <w:bCs/>
          <w:color w:val="000000" w:themeColor="text1"/>
          <w:sz w:val="30"/>
          <w:highlight w:val="none"/>
          <w14:textFill>
            <w14:solidFill>
              <w14:schemeClr w14:val="tx1"/>
            </w14:solidFill>
          </w14:textFill>
        </w:rPr>
      </w:pPr>
      <w:bookmarkStart w:id="27" w:name="_Toc29788"/>
      <w:r>
        <w:rPr>
          <w:rFonts w:hint="eastAsia" w:ascii="宋体" w:hAnsi="宋体" w:eastAsia="宋体" w:cs="宋体"/>
          <w:b/>
          <w:bCs/>
          <w:color w:val="000000" w:themeColor="text1"/>
          <w:sz w:val="30"/>
          <w:highlight w:val="none"/>
          <w14:textFill>
            <w14:solidFill>
              <w14:schemeClr w14:val="tx1"/>
            </w14:solidFill>
          </w14:textFill>
        </w:rPr>
        <w:t>目    录</w:t>
      </w:r>
      <w:bookmarkEnd w:id="27"/>
    </w:p>
    <w:p w14:paraId="23AA137E">
      <w:pPr>
        <w:keepLines w:val="0"/>
        <w:pageBreakBefore w:val="0"/>
        <w:overflowPunct w:val="0"/>
        <w:topLinePunct w:val="0"/>
        <w:bidi w:val="0"/>
        <w:spacing w:line="600" w:lineRule="exact"/>
        <w:rPr>
          <w:rFonts w:hint="eastAsia" w:ascii="宋体" w:hAnsi="宋体" w:eastAsia="宋体" w:cs="宋体"/>
          <w:color w:val="000000" w:themeColor="text1"/>
          <w:sz w:val="24"/>
          <w:highlight w:val="none"/>
          <w14:textFill>
            <w14:solidFill>
              <w14:schemeClr w14:val="tx1"/>
            </w14:solidFill>
          </w14:textFill>
        </w:rPr>
      </w:pPr>
    </w:p>
    <w:p w14:paraId="37CB2152">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一、谈判响应函</w:t>
      </w:r>
    </w:p>
    <w:p w14:paraId="212A966D">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二、竞争性谈判报价一览表</w:t>
      </w:r>
    </w:p>
    <w:p w14:paraId="6D7B3D02">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三</w:t>
      </w:r>
      <w:r>
        <w:rPr>
          <w:rFonts w:hint="eastAsia" w:ascii="宋体" w:hAnsi="宋体" w:eastAsia="宋体" w:cs="宋体"/>
          <w:color w:val="000000" w:themeColor="text1"/>
          <w:szCs w:val="21"/>
          <w:highlight w:val="none"/>
          <w14:textFill>
            <w14:solidFill>
              <w14:schemeClr w14:val="tx1"/>
            </w14:solidFill>
          </w14:textFill>
        </w:rPr>
        <w:t>、资格文件</w:t>
      </w:r>
    </w:p>
    <w:p w14:paraId="0231918A">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四</w:t>
      </w:r>
      <w:r>
        <w:rPr>
          <w:rFonts w:hint="eastAsia" w:ascii="宋体" w:hAnsi="宋体" w:eastAsia="宋体" w:cs="宋体"/>
          <w:color w:val="000000" w:themeColor="text1"/>
          <w:szCs w:val="21"/>
          <w:highlight w:val="none"/>
          <w14:textFill>
            <w14:solidFill>
              <w14:schemeClr w14:val="tx1"/>
            </w14:solidFill>
          </w14:textFill>
        </w:rPr>
        <w:t>、谈判报价方案说明书</w:t>
      </w:r>
    </w:p>
    <w:p w14:paraId="06C7C810">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五</w:t>
      </w:r>
      <w:r>
        <w:rPr>
          <w:rFonts w:hint="eastAsia" w:ascii="宋体" w:hAnsi="宋体" w:eastAsia="宋体" w:cs="宋体"/>
          <w:color w:val="000000" w:themeColor="text1"/>
          <w:szCs w:val="21"/>
          <w:highlight w:val="none"/>
          <w14:textFill>
            <w14:solidFill>
              <w14:schemeClr w14:val="tx1"/>
            </w14:solidFill>
          </w14:textFill>
        </w:rPr>
        <w:t>、供应商认为有必要补充说明的事宜</w:t>
      </w:r>
    </w:p>
    <w:p w14:paraId="18C2FFEB">
      <w:pPr>
        <w:keepLines w:val="0"/>
        <w:pageBreakBefore w:val="0"/>
        <w:overflowPunct w:val="0"/>
        <w:topLinePunct w:val="0"/>
        <w:bidi w:val="0"/>
        <w:spacing w:line="7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六</w:t>
      </w:r>
      <w:r>
        <w:rPr>
          <w:rFonts w:hint="eastAsia" w:ascii="宋体" w:hAnsi="宋体" w:eastAsia="宋体" w:cs="宋体"/>
          <w:color w:val="000000" w:themeColor="text1"/>
          <w:szCs w:val="21"/>
          <w:highlight w:val="none"/>
          <w14:textFill>
            <w14:solidFill>
              <w14:schemeClr w14:val="tx1"/>
            </w14:solidFill>
          </w14:textFill>
        </w:rPr>
        <w:t>、《拒绝政府采购领域商业贿赂承诺书》</w:t>
      </w:r>
    </w:p>
    <w:p w14:paraId="43A43D31">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39194FA9">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012DA6B2">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5BDE6A24">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32D03512">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090EC83D">
      <w:pPr>
        <w:pStyle w:val="10"/>
        <w:keepLines w:val="0"/>
        <w:pageBreakBefore w:val="0"/>
        <w:overflowPunct w:val="0"/>
        <w:topLinePunct w:val="0"/>
        <w:bidi w:val="0"/>
        <w:jc w:val="both"/>
        <w:rPr>
          <w:rFonts w:hint="eastAsia" w:ascii="宋体" w:hAnsi="宋体" w:eastAsia="宋体" w:cs="宋体"/>
          <w:b/>
          <w:bCs/>
          <w:color w:val="000000" w:themeColor="text1"/>
          <w:szCs w:val="21"/>
          <w:highlight w:val="none"/>
          <w14:textFill>
            <w14:solidFill>
              <w14:schemeClr w14:val="tx1"/>
            </w14:solidFill>
          </w14:textFill>
        </w:rPr>
      </w:pPr>
    </w:p>
    <w:p w14:paraId="6495CB32">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50423E24">
      <w:pPr>
        <w:keepLines w:val="0"/>
        <w:pageBreakBefore w:val="0"/>
        <w:overflowPunct w:val="0"/>
        <w:topLinePunct w:val="0"/>
        <w:bidi w:val="0"/>
        <w:spacing w:line="60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r>
      <w:bookmarkStart w:id="28" w:name="_Toc17985"/>
      <w:r>
        <w:rPr>
          <w:rFonts w:hint="eastAsia" w:ascii="宋体" w:hAnsi="宋体" w:eastAsia="宋体" w:cs="宋体"/>
          <w:b/>
          <w:bCs/>
          <w:color w:val="000000" w:themeColor="text1"/>
          <w:sz w:val="36"/>
          <w:szCs w:val="36"/>
          <w:highlight w:val="none"/>
          <w14:textFill>
            <w14:solidFill>
              <w14:schemeClr w14:val="tx1"/>
            </w14:solidFill>
          </w14:textFill>
        </w:rPr>
        <w:t>一、谈判响应函</w:t>
      </w:r>
      <w:bookmarkEnd w:id="28"/>
    </w:p>
    <w:p w14:paraId="5CB405B1">
      <w:pPr>
        <w:pStyle w:val="13"/>
        <w:keepLines w:val="0"/>
        <w:pageBreakBefore w:val="0"/>
        <w:overflowPunct w:val="0"/>
        <w:topLinePunct w:val="0"/>
        <w:bidi w:val="0"/>
        <w:spacing w:line="500" w:lineRule="exact"/>
        <w:ind w:firstLine="0"/>
        <w:rPr>
          <w:rFonts w:hint="eastAsia" w:ascii="宋体" w:hAnsi="宋体" w:eastAsia="宋体" w:cs="宋体"/>
          <w:b/>
          <w:bCs/>
          <w:color w:val="000000" w:themeColor="text1"/>
          <w:szCs w:val="28"/>
          <w:highlight w:val="none"/>
          <w:lang w:eastAsia="zh-CN"/>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致：</w:t>
      </w:r>
      <w:r>
        <w:rPr>
          <w:rFonts w:hint="eastAsia" w:ascii="宋体" w:hAnsi="宋体" w:eastAsia="宋体" w:cs="宋体"/>
          <w:b/>
          <w:bCs/>
          <w:color w:val="000000" w:themeColor="text1"/>
          <w:szCs w:val="28"/>
          <w:highlight w:val="none"/>
          <w:lang w:eastAsia="zh-CN"/>
          <w14:textFill>
            <w14:solidFill>
              <w14:schemeClr w14:val="tx1"/>
            </w14:solidFill>
          </w14:textFill>
        </w:rPr>
        <w:t>安康华昊智远项目管理有限公司</w:t>
      </w:r>
    </w:p>
    <w:p w14:paraId="54AA74C7">
      <w:pPr>
        <w:pStyle w:val="13"/>
        <w:keepLines w:val="0"/>
        <w:pageBreakBefore w:val="0"/>
        <w:overflowPunct w:val="0"/>
        <w:topLinePunct w:val="0"/>
        <w:bidi w:val="0"/>
        <w:spacing w:line="420" w:lineRule="exact"/>
        <w:ind w:firstLine="42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我方全面研究了“</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r>
        <w:rPr>
          <w:rFonts w:hint="eastAsia" w:ascii="宋体" w:hAnsi="宋体" w:eastAsia="宋体" w:cs="宋体"/>
          <w:bCs/>
          <w:color w:val="000000" w:themeColor="text1"/>
          <w:szCs w:val="28"/>
          <w:highlight w:val="none"/>
          <w14:textFill>
            <w14:solidFill>
              <w14:schemeClr w14:val="tx1"/>
            </w14:solidFill>
          </w14:textFill>
        </w:rPr>
        <w:t>”采购项目</w:t>
      </w:r>
      <w:r>
        <w:rPr>
          <w:rFonts w:hint="eastAsia" w:ascii="宋体" w:hAnsi="宋体" w:eastAsia="宋体" w:cs="宋体"/>
          <w:bCs/>
          <w:color w:val="000000" w:themeColor="text1"/>
          <w:szCs w:val="28"/>
          <w:highlight w:val="none"/>
          <w14:textFill>
            <w14:solidFill>
              <w14:schemeClr w14:val="tx1"/>
            </w14:solidFill>
          </w14:textFill>
        </w:rPr>
        <w:t>（</w:t>
      </w:r>
      <w:r>
        <w:rPr>
          <w:rFonts w:hint="eastAsia" w:cs="宋体"/>
          <w:bCs/>
          <w:color w:val="000000" w:themeColor="text1"/>
          <w:szCs w:val="28"/>
          <w:highlight w:val="none"/>
          <w:lang w:eastAsia="zh-CN"/>
          <w14:textFill>
            <w14:solidFill>
              <w14:schemeClr w14:val="tx1"/>
            </w14:solidFill>
          </w14:textFill>
        </w:rPr>
        <w:t>HHZY-2026-13</w:t>
      </w:r>
      <w:r>
        <w:rPr>
          <w:rFonts w:hint="eastAsia" w:ascii="宋体" w:hAnsi="宋体" w:eastAsia="宋体" w:cs="宋体"/>
          <w:bCs/>
          <w:color w:val="000000" w:themeColor="text1"/>
          <w:szCs w:val="28"/>
          <w:highlight w:val="none"/>
          <w14:textFill>
            <w14:solidFill>
              <w14:schemeClr w14:val="tx1"/>
            </w14:solidFill>
          </w14:textFill>
        </w:rPr>
        <w:t>）竞争性</w:t>
      </w:r>
      <w:r>
        <w:rPr>
          <w:rFonts w:hint="eastAsia" w:ascii="宋体" w:hAnsi="宋体" w:eastAsia="宋体" w:cs="宋体"/>
          <w:bCs/>
          <w:color w:val="000000" w:themeColor="text1"/>
          <w:szCs w:val="28"/>
          <w:highlight w:val="none"/>
          <w14:textFill>
            <w14:solidFill>
              <w14:schemeClr w14:val="tx1"/>
            </w14:solidFill>
          </w14:textFill>
        </w:rPr>
        <w:t>谈判文件的全部内容，知悉参加竞争性谈判的风险，我方承诺接受竞争性谈判文件的全部条款且无任何异议，决定参加贵单位组织的本项目谈判。我方正式授权</w:t>
      </w:r>
      <w:r>
        <w:rPr>
          <w:rFonts w:hint="eastAsia" w:ascii="宋体" w:hAnsi="宋体" w:eastAsia="宋体" w:cs="宋体"/>
          <w:bCs/>
          <w:color w:val="000000" w:themeColor="text1"/>
          <w:szCs w:val="28"/>
          <w:highlight w:val="none"/>
          <w:u w:val="single"/>
          <w14:textFill>
            <w14:solidFill>
              <w14:schemeClr w14:val="tx1"/>
            </w14:solidFill>
          </w14:textFill>
        </w:rPr>
        <w:t>（姓名、职务）</w:t>
      </w:r>
      <w:r>
        <w:rPr>
          <w:rFonts w:hint="eastAsia" w:ascii="宋体" w:hAnsi="宋体" w:eastAsia="宋体" w:cs="宋体"/>
          <w:bCs/>
          <w:color w:val="000000" w:themeColor="text1"/>
          <w:szCs w:val="28"/>
          <w:highlight w:val="none"/>
          <w14:textFill>
            <w14:solidFill>
              <w14:schemeClr w14:val="tx1"/>
            </w14:solidFill>
          </w14:textFill>
        </w:rPr>
        <w:t>代表我方</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r>
        <w:rPr>
          <w:rFonts w:hint="eastAsia" w:ascii="宋体" w:hAnsi="宋体" w:eastAsia="宋体" w:cs="宋体"/>
          <w:bCs/>
          <w:color w:val="000000" w:themeColor="text1"/>
          <w:szCs w:val="28"/>
          <w:highlight w:val="none"/>
          <w14:textFill>
            <w14:solidFill>
              <w14:schemeClr w14:val="tx1"/>
            </w14:solidFill>
          </w14:textFill>
        </w:rPr>
        <w:t>（供应商的名称）全权处理本项目谈判的有关事宜。</w:t>
      </w:r>
    </w:p>
    <w:p w14:paraId="7C9CA4B5">
      <w:pPr>
        <w:pStyle w:val="13"/>
        <w:keepLines w:val="0"/>
        <w:pageBreakBefore w:val="0"/>
        <w:overflowPunct w:val="0"/>
        <w:topLinePunct w:val="0"/>
        <w:bidi w:val="0"/>
        <w:spacing w:line="420" w:lineRule="exact"/>
        <w:ind w:firstLine="42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在此，我方郑重声明以下诸点，并负法律责任。</w:t>
      </w:r>
    </w:p>
    <w:p w14:paraId="713C00F1">
      <w:pPr>
        <w:pStyle w:val="13"/>
        <w:keepLines w:val="0"/>
        <w:pageBreakBefore w:val="0"/>
        <w:overflowPunct w:val="0"/>
        <w:topLinePunct w:val="0"/>
        <w:bidi w:val="0"/>
        <w:spacing w:line="420" w:lineRule="exact"/>
        <w:ind w:firstLine="42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1、按照竞争性谈判文件的规定，我方初次谈判报价为</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r>
        <w:rPr>
          <w:rFonts w:hint="eastAsia" w:ascii="宋体" w:hAnsi="宋体" w:eastAsia="宋体" w:cs="宋体"/>
          <w:bCs/>
          <w:color w:val="000000" w:themeColor="text1"/>
          <w:szCs w:val="28"/>
          <w:highlight w:val="none"/>
          <w:u w:val="single"/>
          <w:lang w:val="en-US" w:eastAsia="zh-CN"/>
          <w14:textFill>
            <w14:solidFill>
              <w14:schemeClr w14:val="tx1"/>
            </w14:solidFill>
          </w14:textFill>
        </w:rPr>
        <w:t xml:space="preserve"> </w:t>
      </w:r>
      <w:r>
        <w:rPr>
          <w:rFonts w:hint="eastAsia" w:cs="宋体"/>
          <w:bCs/>
          <w:color w:val="000000" w:themeColor="text1"/>
          <w:szCs w:val="28"/>
          <w:highlight w:val="none"/>
          <w:u w:val="single"/>
          <w:lang w:val="en-US" w:eastAsia="zh-CN"/>
          <w14:textFill>
            <w14:solidFill>
              <w14:schemeClr w14:val="tx1"/>
            </w14:solidFill>
          </w14:textFill>
        </w:rPr>
        <w:t>元/（瓶或盒）</w:t>
      </w:r>
      <w:r>
        <w:rPr>
          <w:rFonts w:hint="eastAsia" w:ascii="宋体" w:hAnsi="宋体" w:eastAsia="宋体" w:cs="宋体"/>
          <w:bCs/>
          <w:color w:val="000000" w:themeColor="text1"/>
          <w:szCs w:val="28"/>
          <w:highlight w:val="none"/>
          <w:lang w:eastAsia="zh-CN"/>
          <w14:textFill>
            <w14:solidFill>
              <w14:schemeClr w14:val="tx1"/>
            </w14:solidFill>
          </w14:textFill>
        </w:rPr>
        <w:t>，</w:t>
      </w:r>
      <w:r>
        <w:rPr>
          <w:rFonts w:hint="eastAsia" w:cs="宋体"/>
          <w:bCs/>
          <w:color w:val="000000" w:themeColor="text1"/>
          <w:szCs w:val="28"/>
          <w:highlight w:val="none"/>
          <w:lang w:val="en-US" w:eastAsia="zh-CN"/>
          <w14:textFill>
            <w14:solidFill>
              <w14:schemeClr w14:val="tx1"/>
            </w14:solidFill>
          </w14:textFill>
        </w:rPr>
        <w:t>合同履行</w:t>
      </w:r>
      <w:r>
        <w:rPr>
          <w:rFonts w:hint="eastAsia" w:ascii="宋体" w:hAnsi="宋体" w:eastAsia="宋体" w:cs="宋体"/>
          <w:bCs/>
          <w:color w:val="000000" w:themeColor="text1"/>
          <w:szCs w:val="28"/>
          <w:highlight w:val="none"/>
          <w:lang w:eastAsia="zh-CN"/>
          <w14:textFill>
            <w14:solidFill>
              <w14:schemeClr w14:val="tx1"/>
            </w14:solidFill>
          </w14:textFill>
        </w:rPr>
        <w:t>期限为</w:t>
      </w:r>
      <w:r>
        <w:rPr>
          <w:rFonts w:hint="eastAsia" w:ascii="宋体" w:hAnsi="宋体" w:eastAsia="宋体" w:cs="宋体"/>
          <w:bCs/>
          <w:color w:val="000000" w:themeColor="text1"/>
          <w:szCs w:val="28"/>
          <w:highlight w:val="none"/>
          <w:u w:val="single"/>
          <w:lang w:eastAsia="zh-CN"/>
          <w14:textFill>
            <w14:solidFill>
              <w14:schemeClr w14:val="tx1"/>
            </w14:solidFill>
          </w14:textFill>
        </w:rPr>
        <w:t xml:space="preserve">       </w:t>
      </w:r>
      <w:r>
        <w:rPr>
          <w:rFonts w:hint="eastAsia" w:ascii="宋体" w:hAnsi="宋体" w:eastAsia="宋体" w:cs="宋体"/>
          <w:bCs/>
          <w:color w:val="000000" w:themeColor="text1"/>
          <w:szCs w:val="28"/>
          <w:highlight w:val="none"/>
          <w14:textFill>
            <w14:solidFill>
              <w14:schemeClr w14:val="tx1"/>
            </w14:solidFill>
          </w14:textFill>
        </w:rPr>
        <w:t>。</w:t>
      </w:r>
    </w:p>
    <w:p w14:paraId="707E445F">
      <w:pPr>
        <w:pStyle w:val="13"/>
        <w:keepLines w:val="0"/>
        <w:pageBreakBefore w:val="0"/>
        <w:overflowPunct w:val="0"/>
        <w:topLinePunct w:val="0"/>
        <w:bidi w:val="0"/>
        <w:spacing w:line="400" w:lineRule="exact"/>
        <w:ind w:firstLine="42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2、如果我方成交，我方根据竞争性谈判文件的规定，履行合同的责任和义务；</w:t>
      </w:r>
    </w:p>
    <w:p w14:paraId="0A84F9E1">
      <w:pPr>
        <w:pStyle w:val="13"/>
        <w:keepLines w:val="0"/>
        <w:pageBreakBefore w:val="0"/>
        <w:overflowPunct w:val="0"/>
        <w:topLinePunct w:val="0"/>
        <w:bidi w:val="0"/>
        <w:spacing w:line="420" w:lineRule="exact"/>
        <w:ind w:firstLine="42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lang w:val="en-US" w:eastAsia="zh-CN"/>
          <w14:textFill>
            <w14:solidFill>
              <w14:schemeClr w14:val="tx1"/>
            </w14:solidFill>
          </w14:textFill>
        </w:rPr>
        <w:t>3</w:t>
      </w:r>
      <w:r>
        <w:rPr>
          <w:rFonts w:hint="eastAsia" w:ascii="宋体" w:hAnsi="宋体" w:eastAsia="宋体" w:cs="宋体"/>
          <w:bCs/>
          <w:color w:val="000000" w:themeColor="text1"/>
          <w:szCs w:val="28"/>
          <w:highlight w:val="none"/>
          <w14:textFill>
            <w14:solidFill>
              <w14:schemeClr w14:val="tx1"/>
            </w14:solidFill>
          </w14:textFill>
        </w:rPr>
        <w:t>、我方已仔细阅读了竞争性谈判文件的全部内容，完全理解并放弃提出含糊不清或易形成歧义的表述和资料，并同意和放弃对竞争性谈判文件不明或误解而询问、质疑和投诉的权利。</w:t>
      </w:r>
    </w:p>
    <w:p w14:paraId="057EA2F5">
      <w:pPr>
        <w:pStyle w:val="13"/>
        <w:keepLines w:val="0"/>
        <w:pageBreakBefore w:val="0"/>
        <w:overflowPunct w:val="0"/>
        <w:topLinePunct w:val="0"/>
        <w:bidi w:val="0"/>
        <w:spacing w:line="420" w:lineRule="exact"/>
        <w:ind w:firstLine="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w:t>
      </w:r>
      <w:r>
        <w:rPr>
          <w:rFonts w:hint="eastAsia" w:ascii="宋体" w:hAnsi="宋体" w:eastAsia="宋体" w:cs="宋体"/>
          <w:bCs/>
          <w:color w:val="000000" w:themeColor="text1"/>
          <w:szCs w:val="28"/>
          <w:highlight w:val="none"/>
          <w:lang w:val="en-US" w:eastAsia="zh-CN"/>
          <w14:textFill>
            <w14:solidFill>
              <w14:schemeClr w14:val="tx1"/>
            </w14:solidFill>
          </w14:textFill>
        </w:rPr>
        <w:t>4</w:t>
      </w:r>
      <w:r>
        <w:rPr>
          <w:rFonts w:hint="eastAsia" w:ascii="宋体" w:hAnsi="宋体" w:eastAsia="宋体" w:cs="宋体"/>
          <w:bCs/>
          <w:color w:val="000000" w:themeColor="text1"/>
          <w:szCs w:val="28"/>
          <w:highlight w:val="none"/>
          <w14:textFill>
            <w14:solidFill>
              <w14:schemeClr w14:val="tx1"/>
            </w14:solidFill>
          </w14:textFill>
        </w:rPr>
        <w:t>、谈判会议后在规定的谈判有效期内撤回谈判，我们愿接受政府采购的有关处罚决定。</w:t>
      </w:r>
    </w:p>
    <w:p w14:paraId="12CD1019">
      <w:pPr>
        <w:pStyle w:val="13"/>
        <w:keepLines w:val="0"/>
        <w:pageBreakBefore w:val="0"/>
        <w:overflowPunct w:val="0"/>
        <w:topLinePunct w:val="0"/>
        <w:bidi w:val="0"/>
        <w:spacing w:line="420" w:lineRule="exact"/>
        <w:ind w:firstLine="42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lang w:val="en-US" w:eastAsia="zh-CN"/>
          <w14:textFill>
            <w14:solidFill>
              <w14:schemeClr w14:val="tx1"/>
            </w14:solidFill>
          </w14:textFill>
        </w:rPr>
        <w:t>5</w:t>
      </w:r>
      <w:r>
        <w:rPr>
          <w:rFonts w:hint="eastAsia" w:ascii="宋体" w:hAnsi="宋体" w:eastAsia="宋体" w:cs="宋体"/>
          <w:bCs/>
          <w:color w:val="000000" w:themeColor="text1"/>
          <w:szCs w:val="28"/>
          <w:highlight w:val="none"/>
          <w14:textFill>
            <w14:solidFill>
              <w14:schemeClr w14:val="tx1"/>
            </w14:solidFill>
          </w14:textFill>
        </w:rPr>
        <w:t>、同意向贵方提供可能要求的，与本次谈判有关的任何证据或资料，并保证我方已提供和将要提供的文件资料是真实、准确的，否则，愿承担《中华人民共和国政府采购法》第七十七条规定的法律责任。我方尊重谈判小组的评审结论和成交结果。</w:t>
      </w:r>
    </w:p>
    <w:p w14:paraId="349F6B0A">
      <w:pPr>
        <w:pStyle w:val="13"/>
        <w:keepLines w:val="0"/>
        <w:pageBreakBefore w:val="0"/>
        <w:overflowPunct w:val="0"/>
        <w:topLinePunct w:val="0"/>
        <w:bidi w:val="0"/>
        <w:spacing w:line="420" w:lineRule="exact"/>
        <w:ind w:firstLine="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w:t>
      </w:r>
      <w:r>
        <w:rPr>
          <w:rFonts w:hint="eastAsia" w:ascii="宋体" w:hAnsi="宋体" w:eastAsia="宋体" w:cs="宋体"/>
          <w:bCs/>
          <w:color w:val="000000" w:themeColor="text1"/>
          <w:szCs w:val="28"/>
          <w:highlight w:val="none"/>
          <w:lang w:val="en-US" w:eastAsia="zh-CN"/>
          <w14:textFill>
            <w14:solidFill>
              <w14:schemeClr w14:val="tx1"/>
            </w14:solidFill>
          </w14:textFill>
        </w:rPr>
        <w:t>6</w:t>
      </w:r>
      <w:r>
        <w:rPr>
          <w:rFonts w:hint="eastAsia" w:ascii="宋体" w:hAnsi="宋体" w:eastAsia="宋体" w:cs="宋体"/>
          <w:bCs/>
          <w:color w:val="000000" w:themeColor="text1"/>
          <w:szCs w:val="28"/>
          <w:highlight w:val="none"/>
          <w14:textFill>
            <w14:solidFill>
              <w14:schemeClr w14:val="tx1"/>
            </w14:solidFill>
          </w14:textFill>
        </w:rPr>
        <w:t>、我方的谈判响应文件在自谈判之日起有效期为90个日历天，若我方成交，谈判响应文件有效期延长至合同执行完毕。</w:t>
      </w:r>
    </w:p>
    <w:p w14:paraId="3488DC3C">
      <w:pPr>
        <w:pStyle w:val="13"/>
        <w:keepLines w:val="0"/>
        <w:pageBreakBefore w:val="0"/>
        <w:overflowPunct w:val="0"/>
        <w:topLinePunct w:val="0"/>
        <w:bidi w:val="0"/>
        <w:spacing w:line="420" w:lineRule="exact"/>
        <w:ind w:firstLine="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w:t>
      </w:r>
      <w:r>
        <w:rPr>
          <w:rFonts w:hint="eastAsia" w:ascii="宋体" w:hAnsi="宋体" w:eastAsia="宋体" w:cs="宋体"/>
          <w:bCs/>
          <w:color w:val="000000" w:themeColor="text1"/>
          <w:szCs w:val="28"/>
          <w:highlight w:val="none"/>
          <w14:textFill>
            <w14:solidFill>
              <w14:schemeClr w14:val="tx1"/>
            </w14:solidFill>
          </w14:textFill>
        </w:rPr>
        <w:t xml:space="preserve"> </w:t>
      </w:r>
      <w:r>
        <w:rPr>
          <w:rFonts w:hint="eastAsia" w:ascii="宋体" w:hAnsi="宋体" w:eastAsia="宋体" w:cs="宋体"/>
          <w:bCs/>
          <w:color w:val="000000" w:themeColor="text1"/>
          <w:szCs w:val="28"/>
          <w:highlight w:val="none"/>
          <w:lang w:val="en-US" w:eastAsia="zh-CN"/>
          <w14:textFill>
            <w14:solidFill>
              <w14:schemeClr w14:val="tx1"/>
            </w14:solidFill>
          </w14:textFill>
        </w:rPr>
        <w:t>7</w:t>
      </w:r>
      <w:r>
        <w:rPr>
          <w:rFonts w:hint="eastAsia" w:ascii="宋体" w:hAnsi="宋体" w:eastAsia="宋体" w:cs="宋体"/>
          <w:bCs/>
          <w:color w:val="000000" w:themeColor="text1"/>
          <w:szCs w:val="28"/>
          <w:highlight w:val="none"/>
          <w14:textFill>
            <w14:solidFill>
              <w14:schemeClr w14:val="tx1"/>
            </w14:solidFill>
          </w14:textFill>
        </w:rPr>
        <w:t>、若我方获得中标，我方保证按有关规定向贵方支付中标服务费。</w:t>
      </w:r>
    </w:p>
    <w:p w14:paraId="5B5A74AF">
      <w:pPr>
        <w:pStyle w:val="13"/>
        <w:keepLines w:val="0"/>
        <w:pageBreakBefore w:val="0"/>
        <w:overflowPunct w:val="0"/>
        <w:topLinePunct w:val="0"/>
        <w:bidi w:val="0"/>
        <w:spacing w:line="420" w:lineRule="exact"/>
        <w:ind w:left="420" w:firstLine="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lang w:val="en-US" w:eastAsia="zh-CN"/>
          <w14:textFill>
            <w14:solidFill>
              <w14:schemeClr w14:val="tx1"/>
            </w14:solidFill>
          </w14:textFill>
        </w:rPr>
        <w:t>8</w:t>
      </w:r>
      <w:r>
        <w:rPr>
          <w:rFonts w:hint="eastAsia" w:ascii="宋体" w:hAnsi="宋体" w:eastAsia="宋体" w:cs="宋体"/>
          <w:bCs/>
          <w:color w:val="000000" w:themeColor="text1"/>
          <w:szCs w:val="28"/>
          <w:highlight w:val="none"/>
          <w14:textFill>
            <w14:solidFill>
              <w14:schemeClr w14:val="tx1"/>
            </w14:solidFill>
          </w14:textFill>
        </w:rPr>
        <w:t>、有关本项目的所有函电，请按下列地址联系：</w:t>
      </w:r>
    </w:p>
    <w:p w14:paraId="24397EE8">
      <w:pPr>
        <w:pStyle w:val="13"/>
        <w:keepLines w:val="0"/>
        <w:pageBreakBefore w:val="0"/>
        <w:overflowPunct w:val="0"/>
        <w:topLinePunct w:val="0"/>
        <w:bidi w:val="0"/>
        <w:spacing w:line="360" w:lineRule="auto"/>
        <w:ind w:firstLine="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w:t>
      </w:r>
    </w:p>
    <w:p w14:paraId="79368D76">
      <w:pPr>
        <w:pStyle w:val="13"/>
        <w:keepLines w:val="0"/>
        <w:pageBreakBefore w:val="0"/>
        <w:overflowPunct w:val="0"/>
        <w:topLinePunct w:val="0"/>
        <w:bidi w:val="0"/>
        <w:spacing w:line="360" w:lineRule="auto"/>
        <w:ind w:firstLine="4830" w:firstLineChars="2300"/>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供应商名称：</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r>
        <w:rPr>
          <w:rFonts w:hint="eastAsia" w:ascii="宋体" w:hAnsi="宋体" w:eastAsia="宋体" w:cs="宋体"/>
          <w:bCs/>
          <w:color w:val="000000" w:themeColor="text1"/>
          <w:szCs w:val="28"/>
          <w:highlight w:val="none"/>
          <w14:textFill>
            <w14:solidFill>
              <w14:schemeClr w14:val="tx1"/>
            </w14:solidFill>
          </w14:textFill>
        </w:rPr>
        <w:t>（盖章）</w:t>
      </w:r>
    </w:p>
    <w:p w14:paraId="2E081F2D">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法定代表人或授权代表（盖章或签字）：</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0E5A0A10">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通讯地址：</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4CC69C8A">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联系电话：</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7D615A85">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传    真：</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225679B3">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电子邮件：</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18A9C3F3">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开户银行：</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41E6FDA6">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帐    号：</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745D436E">
      <w:pPr>
        <w:pStyle w:val="13"/>
        <w:keepLines w:val="0"/>
        <w:pageBreakBefore w:val="0"/>
        <w:overflowPunct w:val="0"/>
        <w:topLinePunct w:val="0"/>
        <w:bidi w:val="0"/>
        <w:spacing w:line="360" w:lineRule="auto"/>
        <w:ind w:firstLine="2520" w:firstLineChars="1200"/>
        <w:rPr>
          <w:rFonts w:hint="eastAsia" w:ascii="宋体" w:hAnsi="宋体" w:eastAsia="宋体" w:cs="宋体"/>
          <w:bCs/>
          <w:color w:val="000000" w:themeColor="text1"/>
          <w:szCs w:val="28"/>
          <w:highlight w:val="none"/>
          <w:u w:val="single"/>
          <w14:textFill>
            <w14:solidFill>
              <w14:schemeClr w14:val="tx1"/>
            </w14:solidFill>
          </w14:textFill>
        </w:rPr>
      </w:pPr>
      <w:r>
        <w:rPr>
          <w:rFonts w:hint="eastAsia" w:ascii="宋体" w:hAnsi="宋体" w:eastAsia="宋体" w:cs="宋体"/>
          <w:bCs/>
          <w:color w:val="000000" w:themeColor="text1"/>
          <w:szCs w:val="28"/>
          <w:highlight w:val="none"/>
          <w14:textFill>
            <w14:solidFill>
              <w14:schemeClr w14:val="tx1"/>
            </w14:solidFill>
          </w14:textFill>
        </w:rPr>
        <w:t xml:space="preserve">                      日    期：</w:t>
      </w:r>
      <w:r>
        <w:rPr>
          <w:rFonts w:hint="eastAsia" w:ascii="宋体" w:hAnsi="宋体" w:eastAsia="宋体" w:cs="宋体"/>
          <w:bCs/>
          <w:color w:val="000000" w:themeColor="text1"/>
          <w:szCs w:val="28"/>
          <w:highlight w:val="none"/>
          <w:u w:val="single"/>
          <w14:textFill>
            <w14:solidFill>
              <w14:schemeClr w14:val="tx1"/>
            </w14:solidFill>
          </w14:textFill>
        </w:rPr>
        <w:t xml:space="preserve">                                </w:t>
      </w:r>
    </w:p>
    <w:p w14:paraId="3A2FB1EE">
      <w:pPr>
        <w:keepLines w:val="0"/>
        <w:pageBreakBefore w:val="0"/>
        <w:overflowPunct w:val="0"/>
        <w:topLinePunct w:val="0"/>
        <w:bidi w:val="0"/>
        <w:spacing w:line="60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056D9004">
      <w:pPr>
        <w:keepLines w:val="0"/>
        <w:pageBreakBefore w:val="0"/>
        <w:overflowPunct w:val="0"/>
        <w:topLinePunct w:val="0"/>
        <w:bidi w:val="0"/>
        <w:spacing w:line="60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69B14A83">
      <w:pPr>
        <w:keepLines w:val="0"/>
        <w:pageBreakBefore w:val="0"/>
        <w:numPr>
          <w:ilvl w:val="0"/>
          <w:numId w:val="0"/>
        </w:numPr>
        <w:overflowPunct w:val="0"/>
        <w:topLinePunct w:val="0"/>
        <w:bidi w:val="0"/>
        <w:spacing w:line="600" w:lineRule="exact"/>
        <w:ind w:left="0" w:leftChars="0" w:firstLine="723" w:firstLineChars="200"/>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29" w:name="_Toc1441"/>
      <w:r>
        <w:rPr>
          <w:rFonts w:hint="eastAsia" w:ascii="宋体" w:hAnsi="宋体" w:cs="宋体"/>
          <w:b/>
          <w:bCs/>
          <w:color w:val="000000" w:themeColor="text1"/>
          <w:kern w:val="2"/>
          <w:sz w:val="36"/>
          <w:szCs w:val="36"/>
          <w:lang w:val="en-US" w:eastAsia="zh-CN" w:bidi="ar-SA"/>
          <w14:textFill>
            <w14:solidFill>
              <w14:schemeClr w14:val="tx1"/>
            </w14:solidFill>
          </w14:textFill>
        </w:rPr>
        <w:t>二</w:t>
      </w:r>
      <w:r>
        <w:rPr>
          <w:rFonts w:hint="eastAsia" w:ascii="宋体" w:hAnsi="宋体" w:eastAsia="宋体" w:cs="宋体"/>
          <w:b/>
          <w:bCs/>
          <w:color w:val="000000" w:themeColor="text1"/>
          <w:kern w:val="2"/>
          <w:sz w:val="36"/>
          <w:szCs w:val="36"/>
          <w:lang w:val="en-US" w:eastAsia="zh-CN" w:bidi="ar-SA"/>
          <w14:textFill>
            <w14:solidFill>
              <w14:schemeClr w14:val="tx1"/>
            </w14:solidFill>
          </w14:textFill>
        </w:rPr>
        <w:t>、</w:t>
      </w:r>
      <w:r>
        <w:rPr>
          <w:rFonts w:hint="eastAsia" w:ascii="宋体" w:hAnsi="宋体" w:eastAsia="宋体" w:cs="宋体"/>
          <w:b/>
          <w:bCs/>
          <w:color w:val="000000" w:themeColor="text1"/>
          <w:sz w:val="36"/>
          <w:szCs w:val="36"/>
          <w:highlight w:val="none"/>
          <w14:textFill>
            <w14:solidFill>
              <w14:schemeClr w14:val="tx1"/>
            </w14:solidFill>
          </w14:textFill>
        </w:rPr>
        <w:t>竞争性谈判报价一览表</w:t>
      </w:r>
      <w:bookmarkEnd w:id="29"/>
    </w:p>
    <w:p w14:paraId="43C45BE2">
      <w:pPr>
        <w:spacing w:before="246" w:line="236" w:lineRule="auto"/>
        <w:ind w:left="3630"/>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2.1谈判一览表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2700"/>
        <w:gridCol w:w="2340"/>
        <w:gridCol w:w="1378"/>
      </w:tblGrid>
      <w:tr w14:paraId="6DFE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747" w:type="dxa"/>
            <w:noWrap w:val="0"/>
            <w:vAlign w:val="center"/>
          </w:tcPr>
          <w:p w14:paraId="1B62ACE8">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项目名称</w:t>
            </w:r>
          </w:p>
        </w:tc>
        <w:tc>
          <w:tcPr>
            <w:tcW w:w="2700" w:type="dxa"/>
            <w:noWrap w:val="0"/>
            <w:vAlign w:val="center"/>
          </w:tcPr>
          <w:p w14:paraId="77BEE68C">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谈判报价</w:t>
            </w:r>
          </w:p>
          <w:p w14:paraId="34D8324D">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元/（瓶或盒）</w:t>
            </w:r>
          </w:p>
        </w:tc>
        <w:tc>
          <w:tcPr>
            <w:tcW w:w="2340" w:type="dxa"/>
            <w:noWrap w:val="0"/>
            <w:vAlign w:val="center"/>
          </w:tcPr>
          <w:p w14:paraId="5AA29DF8">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合同履行期限 </w:t>
            </w:r>
          </w:p>
        </w:tc>
        <w:tc>
          <w:tcPr>
            <w:tcW w:w="1378" w:type="dxa"/>
            <w:noWrap w:val="0"/>
            <w:vAlign w:val="center"/>
          </w:tcPr>
          <w:p w14:paraId="3CB6DD6D">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备  注</w:t>
            </w:r>
          </w:p>
        </w:tc>
      </w:tr>
      <w:tr w14:paraId="532C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2747" w:type="dxa"/>
            <w:noWrap w:val="0"/>
            <w:vAlign w:val="center"/>
          </w:tcPr>
          <w:p w14:paraId="3EBD6B9E">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增补叶酸预防神经管缺陷项目</w:t>
            </w:r>
          </w:p>
        </w:tc>
        <w:tc>
          <w:tcPr>
            <w:tcW w:w="2700" w:type="dxa"/>
            <w:noWrap w:val="0"/>
            <w:vAlign w:val="center"/>
          </w:tcPr>
          <w:p w14:paraId="56DB1741">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p>
        </w:tc>
        <w:tc>
          <w:tcPr>
            <w:tcW w:w="2340" w:type="dxa"/>
            <w:noWrap w:val="0"/>
            <w:vAlign w:val="center"/>
          </w:tcPr>
          <w:p w14:paraId="48C73587">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p>
        </w:tc>
        <w:tc>
          <w:tcPr>
            <w:tcW w:w="1378" w:type="dxa"/>
            <w:noWrap w:val="0"/>
            <w:vAlign w:val="center"/>
          </w:tcPr>
          <w:p w14:paraId="06A65F00">
            <w:pPr>
              <w:keepLines w:val="0"/>
              <w:pageBreakBefore w:val="0"/>
              <w:overflowPunct w:val="0"/>
              <w:topLinePunct w:val="0"/>
              <w:bidi w:val="0"/>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p>
        </w:tc>
      </w:tr>
    </w:tbl>
    <w:p w14:paraId="469785B9">
      <w:pPr>
        <w:keepLines w:val="0"/>
        <w:pageBreakBefore w:val="0"/>
        <w:overflowPunct w:val="0"/>
        <w:topLinePunct w:val="0"/>
        <w:bidi w:val="0"/>
        <w:spacing w:line="560" w:lineRule="exact"/>
        <w:rPr>
          <w:rFonts w:hint="eastAsia" w:ascii="宋体" w:hAnsi="宋体" w:eastAsia="宋体" w:cs="宋体"/>
          <w:color w:val="000000" w:themeColor="text1"/>
          <w:szCs w:val="21"/>
          <w:highlight w:val="none"/>
          <w14:textFill>
            <w14:solidFill>
              <w14:schemeClr w14:val="tx1"/>
            </w14:solidFill>
          </w14:textFill>
        </w:rPr>
      </w:pPr>
    </w:p>
    <w:p w14:paraId="20C87C32">
      <w:pPr>
        <w:keepNext w:val="0"/>
        <w:keepLines w:val="0"/>
        <w:pageBreakBefore w:val="0"/>
        <w:widowControl w:val="0"/>
        <w:numPr>
          <w:ilvl w:val="0"/>
          <w:numId w:val="0"/>
        </w:numPr>
        <w:kinsoku/>
        <w:wordWrap/>
        <w:overflowPunct/>
        <w:topLinePunct w:val="0"/>
        <w:autoSpaceDE/>
        <w:autoSpaceDN/>
        <w:bidi w:val="0"/>
        <w:adjustRightInd/>
        <w:spacing w:after="120" w:afterLines="50" w:line="480" w:lineRule="exact"/>
        <w:ind w:firstLine="422" w:firstLineChars="200"/>
        <w:jc w:val="left"/>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注：1.</w:t>
      </w:r>
      <w:r>
        <w:rPr>
          <w:rFonts w:hint="eastAsia" w:ascii="宋体" w:hAnsi="宋体" w:cs="宋体"/>
          <w:b/>
          <w:bCs/>
          <w:color w:val="000000" w:themeColor="text1"/>
          <w:szCs w:val="21"/>
          <w:highlight w:val="none"/>
          <w:lang w:val="en-US" w:eastAsia="zh-CN"/>
          <w14:textFill>
            <w14:solidFill>
              <w14:schemeClr w14:val="tx1"/>
            </w14:solidFill>
          </w14:textFill>
        </w:rPr>
        <w:t>报价精确到小数点后两位；</w:t>
      </w:r>
    </w:p>
    <w:p w14:paraId="19BEADEF">
      <w:pPr>
        <w:keepNext w:val="0"/>
        <w:keepLines w:val="0"/>
        <w:pageBreakBefore w:val="0"/>
        <w:widowControl w:val="0"/>
        <w:numPr>
          <w:ilvl w:val="0"/>
          <w:numId w:val="0"/>
        </w:numPr>
        <w:kinsoku/>
        <w:wordWrap/>
        <w:overflowPunct/>
        <w:topLinePunct w:val="0"/>
        <w:autoSpaceDE/>
        <w:autoSpaceDN/>
        <w:bidi w:val="0"/>
        <w:adjustRightInd/>
        <w:spacing w:after="120" w:afterLines="50" w:line="480" w:lineRule="exact"/>
        <w:ind w:firstLine="843" w:firstLineChars="400"/>
        <w:jc w:val="left"/>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2.</w:t>
      </w:r>
      <w:r>
        <w:rPr>
          <w:rFonts w:hint="eastAsia" w:ascii="宋体" w:hAnsi="宋体" w:eastAsia="宋体" w:cs="宋体"/>
          <w:b/>
          <w:bCs/>
          <w:color w:val="000000" w:themeColor="text1"/>
          <w:szCs w:val="21"/>
          <w:highlight w:val="none"/>
          <w:lang w:val="en-US" w:eastAsia="zh-CN"/>
          <w14:textFill>
            <w14:solidFill>
              <w14:schemeClr w14:val="tx1"/>
            </w14:solidFill>
          </w14:textFill>
        </w:rPr>
        <w:t>供应商投标报价含管理费、运输费、搬运费、利润、税金、保险等的一切费用</w:t>
      </w:r>
      <w:r>
        <w:rPr>
          <w:rFonts w:hint="eastAsia" w:ascii="宋体" w:hAnsi="宋体" w:cs="宋体"/>
          <w:b/>
          <w:bCs/>
          <w:color w:val="000000" w:themeColor="text1"/>
          <w:szCs w:val="21"/>
          <w:highlight w:val="none"/>
          <w:lang w:val="en-US" w:eastAsia="zh-CN"/>
          <w14:textFill>
            <w14:solidFill>
              <w14:schemeClr w14:val="tx1"/>
            </w14:solidFill>
          </w14:textFill>
        </w:rPr>
        <w:t>；</w:t>
      </w:r>
    </w:p>
    <w:p w14:paraId="6CE1A2DF">
      <w:pPr>
        <w:keepLines w:val="0"/>
        <w:pageBreakBefore w:val="0"/>
        <w:numPr>
          <w:ilvl w:val="0"/>
          <w:numId w:val="0"/>
        </w:numPr>
        <w:overflowPunct w:val="0"/>
        <w:topLinePunct w:val="0"/>
        <w:bidi w:val="0"/>
        <w:spacing w:line="560" w:lineRule="exact"/>
        <w:ind w:firstLine="843" w:firstLineChars="400"/>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3.</w:t>
      </w:r>
      <w:r>
        <w:rPr>
          <w:rFonts w:hint="eastAsia" w:ascii="宋体" w:hAnsi="宋体" w:eastAsia="宋体" w:cs="宋体"/>
          <w:b/>
          <w:bCs/>
          <w:color w:val="000000" w:themeColor="text1"/>
          <w:szCs w:val="21"/>
          <w:highlight w:val="none"/>
          <w:lang w:val="en-US" w:eastAsia="zh-CN"/>
          <w14:textFill>
            <w14:solidFill>
              <w14:schemeClr w14:val="tx1"/>
            </w14:solidFill>
          </w14:textFill>
        </w:rPr>
        <w:t>本表所列各项数据与谈判响应文件其他地方表述不一致时，以本表为准。</w:t>
      </w:r>
    </w:p>
    <w:p w14:paraId="212EE968">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2B109762">
      <w:pPr>
        <w:keepLines w:val="0"/>
        <w:pageBreakBefore w:val="0"/>
        <w:overflowPunct w:val="0"/>
        <w:topLinePunct w:val="0"/>
        <w:bidi w:val="0"/>
        <w:spacing w:before="480" w:after="240"/>
        <w:jc w:val="left"/>
        <w:outlineLvl w:val="9"/>
        <w:rPr>
          <w:rFonts w:hint="eastAsia" w:ascii="宋体" w:hAnsi="宋体" w:eastAsia="宋体" w:cs="宋体"/>
          <w:b/>
          <w:bCs/>
          <w:color w:val="000000" w:themeColor="text1"/>
          <w:sz w:val="30"/>
          <w:szCs w:val="30"/>
          <w:highlight w:val="none"/>
          <w14:textFill>
            <w14:solidFill>
              <w14:schemeClr w14:val="tx1"/>
            </w14:solidFill>
          </w14:textFill>
        </w:rPr>
      </w:pPr>
    </w:p>
    <w:p w14:paraId="59BED4F7">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（单位全称、盖章）   </w:t>
      </w:r>
    </w:p>
    <w:p w14:paraId="27649960">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法定代表人或授权代表：</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（盖章或签字）    </w:t>
      </w:r>
    </w:p>
    <w:p w14:paraId="434AD55B">
      <w:pPr>
        <w:keepLines w:val="0"/>
        <w:pageBreakBefore w:val="0"/>
        <w:overflowPunct w:val="0"/>
        <w:topLinePunct w:val="0"/>
        <w:bidi w:val="0"/>
        <w:spacing w:line="500" w:lineRule="exact"/>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谈判日期：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72D3DD08">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p>
    <w:p w14:paraId="4F4885D5">
      <w:pPr>
        <w:spacing w:before="246" w:line="236" w:lineRule="auto"/>
        <w:ind w:left="3630"/>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br w:type="page"/>
      </w:r>
      <w:bookmarkEnd w:id="2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w:t>
      </w:r>
      <w:r>
        <w:rPr>
          <w:rFonts w:hint="eastAsia" w:ascii="宋体" w:hAnsi="宋体" w:cs="宋体"/>
          <w:b/>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货物说明一览表</w:t>
      </w:r>
    </w:p>
    <w:p w14:paraId="6D889914">
      <w:pPr>
        <w:spacing w:before="108" w:line="404" w:lineRule="exact"/>
        <w:ind w:left="22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
          <w:position w:val="12"/>
          <w:sz w:val="22"/>
          <w:szCs w:val="22"/>
          <w:highlight w:val="none"/>
          <w14:textFill>
            <w14:solidFill>
              <w14:schemeClr w14:val="tx1"/>
            </w14:solidFill>
          </w14:textFill>
        </w:rPr>
        <w:t>项目名称：</w:t>
      </w:r>
    </w:p>
    <w:p w14:paraId="351AE8C0">
      <w:pPr>
        <w:spacing w:before="1" w:line="233" w:lineRule="auto"/>
        <w:ind w:left="22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14:textFill>
            <w14:solidFill>
              <w14:schemeClr w14:val="tx1"/>
            </w14:solidFill>
          </w14:textFill>
        </w:rPr>
        <w:t>项目编号：</w:t>
      </w:r>
    </w:p>
    <w:p w14:paraId="6F7FDDB3">
      <w:pPr>
        <w:spacing w:line="44" w:lineRule="exact"/>
        <w:rPr>
          <w:rFonts w:hint="eastAsia" w:ascii="宋体" w:hAnsi="宋体" w:eastAsia="宋体" w:cs="宋体"/>
          <w:color w:val="000000" w:themeColor="text1"/>
          <w:highlight w:val="none"/>
          <w14:textFill>
            <w14:solidFill>
              <w14:schemeClr w14:val="tx1"/>
            </w14:solidFill>
          </w14:textFill>
        </w:rPr>
      </w:pPr>
    </w:p>
    <w:tbl>
      <w:tblPr>
        <w:tblStyle w:val="27"/>
        <w:tblW w:w="94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9"/>
        <w:gridCol w:w="1516"/>
        <w:gridCol w:w="1322"/>
        <w:gridCol w:w="3581"/>
        <w:gridCol w:w="1198"/>
        <w:gridCol w:w="1277"/>
      </w:tblGrid>
      <w:tr w14:paraId="3DD09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2" w:hRule="atLeast"/>
          <w:jc w:val="center"/>
        </w:trPr>
        <w:tc>
          <w:tcPr>
            <w:tcW w:w="569" w:type="dxa"/>
            <w:textDirection w:val="tbRlV"/>
            <w:vAlign w:val="center"/>
          </w:tcPr>
          <w:p w14:paraId="3246DCA3">
            <w:pPr>
              <w:spacing w:line="364" w:lineRule="auto"/>
              <w:jc w:val="center"/>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cs="宋体"/>
                <w:color w:val="000000" w:themeColor="text1"/>
                <w:sz w:val="21"/>
                <w:highlight w:val="none"/>
                <w:lang w:val="en-US" w:eastAsia="zh-CN"/>
                <w14:textFill>
                  <w14:solidFill>
                    <w14:schemeClr w14:val="tx1"/>
                  </w14:solidFill>
                </w14:textFill>
              </w:rPr>
              <w:t>序号</w:t>
            </w:r>
          </w:p>
        </w:tc>
        <w:tc>
          <w:tcPr>
            <w:tcW w:w="1516" w:type="dxa"/>
            <w:vAlign w:val="center"/>
          </w:tcPr>
          <w:p w14:paraId="48F13AAF">
            <w:pPr>
              <w:spacing w:line="364" w:lineRule="auto"/>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名称</w:t>
            </w:r>
          </w:p>
        </w:tc>
        <w:tc>
          <w:tcPr>
            <w:tcW w:w="1322" w:type="dxa"/>
            <w:vAlign w:val="center"/>
          </w:tcPr>
          <w:p w14:paraId="6E2C7218">
            <w:pPr>
              <w:spacing w:line="364" w:lineRule="auto"/>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品牌/型号</w:t>
            </w:r>
          </w:p>
        </w:tc>
        <w:tc>
          <w:tcPr>
            <w:tcW w:w="3581" w:type="dxa"/>
            <w:vAlign w:val="center"/>
          </w:tcPr>
          <w:p w14:paraId="31DBDFC1">
            <w:pPr>
              <w:spacing w:line="364" w:lineRule="auto"/>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配置、规格及主要技术参数</w:t>
            </w:r>
          </w:p>
        </w:tc>
        <w:tc>
          <w:tcPr>
            <w:tcW w:w="1198" w:type="dxa"/>
            <w:vAlign w:val="center"/>
          </w:tcPr>
          <w:p w14:paraId="610BEFC6">
            <w:pPr>
              <w:spacing w:line="364" w:lineRule="auto"/>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数量</w:t>
            </w:r>
          </w:p>
        </w:tc>
        <w:tc>
          <w:tcPr>
            <w:tcW w:w="1277" w:type="dxa"/>
            <w:vAlign w:val="center"/>
          </w:tcPr>
          <w:p w14:paraId="5665577A">
            <w:pPr>
              <w:spacing w:line="364" w:lineRule="auto"/>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交货期</w:t>
            </w:r>
          </w:p>
        </w:tc>
      </w:tr>
      <w:tr w14:paraId="4DC8C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569" w:type="dxa"/>
            <w:vAlign w:val="center"/>
          </w:tcPr>
          <w:p w14:paraId="6E614516">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023473CE">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7B68630B">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5EFD6CE9">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67FF1B57">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722F055D">
            <w:pPr>
              <w:jc w:val="center"/>
              <w:rPr>
                <w:rFonts w:hint="eastAsia" w:ascii="宋体" w:hAnsi="宋体" w:eastAsia="宋体" w:cs="宋体"/>
                <w:color w:val="000000" w:themeColor="text1"/>
                <w:sz w:val="21"/>
                <w:highlight w:val="none"/>
                <w14:textFill>
                  <w14:solidFill>
                    <w14:schemeClr w14:val="tx1"/>
                  </w14:solidFill>
                </w14:textFill>
              </w:rPr>
            </w:pPr>
          </w:p>
        </w:tc>
      </w:tr>
      <w:tr w14:paraId="2B1EF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569" w:type="dxa"/>
            <w:vAlign w:val="center"/>
          </w:tcPr>
          <w:p w14:paraId="3010E51E">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737B0DF5">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115B3955">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0B1FDA66">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1C9841A5">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60FA1310">
            <w:pPr>
              <w:jc w:val="center"/>
              <w:rPr>
                <w:rFonts w:hint="eastAsia" w:ascii="宋体" w:hAnsi="宋体" w:eastAsia="宋体" w:cs="宋体"/>
                <w:color w:val="000000" w:themeColor="text1"/>
                <w:sz w:val="21"/>
                <w:highlight w:val="none"/>
                <w14:textFill>
                  <w14:solidFill>
                    <w14:schemeClr w14:val="tx1"/>
                  </w14:solidFill>
                </w14:textFill>
              </w:rPr>
            </w:pPr>
          </w:p>
        </w:tc>
      </w:tr>
      <w:tr w14:paraId="2B424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569" w:type="dxa"/>
            <w:vAlign w:val="center"/>
          </w:tcPr>
          <w:p w14:paraId="6428DE88">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179B37D7">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6A72432F">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77F4FDE1">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2B45AABD">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526F8CD3">
            <w:pPr>
              <w:jc w:val="center"/>
              <w:rPr>
                <w:rFonts w:hint="eastAsia" w:ascii="宋体" w:hAnsi="宋体" w:eastAsia="宋体" w:cs="宋体"/>
                <w:color w:val="000000" w:themeColor="text1"/>
                <w:sz w:val="21"/>
                <w:highlight w:val="none"/>
                <w14:textFill>
                  <w14:solidFill>
                    <w14:schemeClr w14:val="tx1"/>
                  </w14:solidFill>
                </w14:textFill>
              </w:rPr>
            </w:pPr>
          </w:p>
        </w:tc>
      </w:tr>
      <w:tr w14:paraId="1C3AA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569" w:type="dxa"/>
            <w:vAlign w:val="center"/>
          </w:tcPr>
          <w:p w14:paraId="5D9F9D1B">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1AAAF9EB">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5BB34E42">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1D90B50D">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577E429B">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2FA4B7C7">
            <w:pPr>
              <w:jc w:val="center"/>
              <w:rPr>
                <w:rFonts w:hint="eastAsia" w:ascii="宋体" w:hAnsi="宋体" w:eastAsia="宋体" w:cs="宋体"/>
                <w:color w:val="000000" w:themeColor="text1"/>
                <w:sz w:val="21"/>
                <w:highlight w:val="none"/>
                <w14:textFill>
                  <w14:solidFill>
                    <w14:schemeClr w14:val="tx1"/>
                  </w14:solidFill>
                </w14:textFill>
              </w:rPr>
            </w:pPr>
          </w:p>
        </w:tc>
      </w:tr>
      <w:tr w14:paraId="50C29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569" w:type="dxa"/>
            <w:vAlign w:val="center"/>
          </w:tcPr>
          <w:p w14:paraId="7269C34E">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18ABD855">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70F6FE3C">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64AAA5D8">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58CF4EE6">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49EDD7F0">
            <w:pPr>
              <w:jc w:val="center"/>
              <w:rPr>
                <w:rFonts w:hint="eastAsia" w:ascii="宋体" w:hAnsi="宋体" w:eastAsia="宋体" w:cs="宋体"/>
                <w:color w:val="000000" w:themeColor="text1"/>
                <w:sz w:val="21"/>
                <w:highlight w:val="none"/>
                <w14:textFill>
                  <w14:solidFill>
                    <w14:schemeClr w14:val="tx1"/>
                  </w14:solidFill>
                </w14:textFill>
              </w:rPr>
            </w:pPr>
          </w:p>
        </w:tc>
      </w:tr>
      <w:tr w14:paraId="34D77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jc w:val="center"/>
        </w:trPr>
        <w:tc>
          <w:tcPr>
            <w:tcW w:w="569" w:type="dxa"/>
            <w:vAlign w:val="center"/>
          </w:tcPr>
          <w:p w14:paraId="3FCB5D7A">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0384764C">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1EE6C4A4">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4ADD5CC9">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23C6BB36">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27EC08A4">
            <w:pPr>
              <w:jc w:val="center"/>
              <w:rPr>
                <w:rFonts w:hint="eastAsia" w:ascii="宋体" w:hAnsi="宋体" w:eastAsia="宋体" w:cs="宋体"/>
                <w:color w:val="000000" w:themeColor="text1"/>
                <w:sz w:val="21"/>
                <w:highlight w:val="none"/>
                <w14:textFill>
                  <w14:solidFill>
                    <w14:schemeClr w14:val="tx1"/>
                  </w14:solidFill>
                </w14:textFill>
              </w:rPr>
            </w:pPr>
          </w:p>
        </w:tc>
      </w:tr>
      <w:tr w14:paraId="2E294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569" w:type="dxa"/>
            <w:vAlign w:val="center"/>
          </w:tcPr>
          <w:p w14:paraId="74122DC6">
            <w:pPr>
              <w:jc w:val="center"/>
              <w:rPr>
                <w:rFonts w:hint="eastAsia" w:ascii="宋体" w:hAnsi="宋体" w:eastAsia="宋体" w:cs="宋体"/>
                <w:color w:val="000000" w:themeColor="text1"/>
                <w:sz w:val="21"/>
                <w:highlight w:val="none"/>
                <w14:textFill>
                  <w14:solidFill>
                    <w14:schemeClr w14:val="tx1"/>
                  </w14:solidFill>
                </w14:textFill>
              </w:rPr>
            </w:pPr>
          </w:p>
        </w:tc>
        <w:tc>
          <w:tcPr>
            <w:tcW w:w="1516" w:type="dxa"/>
            <w:vAlign w:val="center"/>
          </w:tcPr>
          <w:p w14:paraId="6AB83301">
            <w:pPr>
              <w:jc w:val="center"/>
              <w:rPr>
                <w:rFonts w:hint="eastAsia" w:ascii="宋体" w:hAnsi="宋体" w:eastAsia="宋体" w:cs="宋体"/>
                <w:color w:val="000000" w:themeColor="text1"/>
                <w:sz w:val="21"/>
                <w:highlight w:val="none"/>
                <w14:textFill>
                  <w14:solidFill>
                    <w14:schemeClr w14:val="tx1"/>
                  </w14:solidFill>
                </w14:textFill>
              </w:rPr>
            </w:pPr>
          </w:p>
        </w:tc>
        <w:tc>
          <w:tcPr>
            <w:tcW w:w="1322" w:type="dxa"/>
            <w:vAlign w:val="center"/>
          </w:tcPr>
          <w:p w14:paraId="466DEAC6">
            <w:pPr>
              <w:jc w:val="center"/>
              <w:rPr>
                <w:rFonts w:hint="eastAsia" w:ascii="宋体" w:hAnsi="宋体" w:eastAsia="宋体" w:cs="宋体"/>
                <w:color w:val="000000" w:themeColor="text1"/>
                <w:sz w:val="21"/>
                <w:highlight w:val="none"/>
                <w14:textFill>
                  <w14:solidFill>
                    <w14:schemeClr w14:val="tx1"/>
                  </w14:solidFill>
                </w14:textFill>
              </w:rPr>
            </w:pPr>
          </w:p>
        </w:tc>
        <w:tc>
          <w:tcPr>
            <w:tcW w:w="3581" w:type="dxa"/>
            <w:vAlign w:val="center"/>
          </w:tcPr>
          <w:p w14:paraId="21C736C0">
            <w:pPr>
              <w:jc w:val="center"/>
              <w:rPr>
                <w:rFonts w:hint="eastAsia" w:ascii="宋体" w:hAnsi="宋体" w:eastAsia="宋体" w:cs="宋体"/>
                <w:color w:val="000000" w:themeColor="text1"/>
                <w:sz w:val="21"/>
                <w:highlight w:val="none"/>
                <w14:textFill>
                  <w14:solidFill>
                    <w14:schemeClr w14:val="tx1"/>
                  </w14:solidFill>
                </w14:textFill>
              </w:rPr>
            </w:pPr>
          </w:p>
        </w:tc>
        <w:tc>
          <w:tcPr>
            <w:tcW w:w="1198" w:type="dxa"/>
            <w:vAlign w:val="center"/>
          </w:tcPr>
          <w:p w14:paraId="48CA3398">
            <w:pPr>
              <w:jc w:val="center"/>
              <w:rPr>
                <w:rFonts w:hint="eastAsia" w:ascii="宋体" w:hAnsi="宋体" w:eastAsia="宋体" w:cs="宋体"/>
                <w:color w:val="000000" w:themeColor="text1"/>
                <w:sz w:val="21"/>
                <w:highlight w:val="none"/>
                <w14:textFill>
                  <w14:solidFill>
                    <w14:schemeClr w14:val="tx1"/>
                  </w14:solidFill>
                </w14:textFill>
              </w:rPr>
            </w:pPr>
          </w:p>
        </w:tc>
        <w:tc>
          <w:tcPr>
            <w:tcW w:w="1277" w:type="dxa"/>
            <w:vAlign w:val="center"/>
          </w:tcPr>
          <w:p w14:paraId="6B7188FC">
            <w:pPr>
              <w:jc w:val="center"/>
              <w:rPr>
                <w:rFonts w:hint="eastAsia" w:ascii="宋体" w:hAnsi="宋体" w:eastAsia="宋体" w:cs="宋体"/>
                <w:color w:val="000000" w:themeColor="text1"/>
                <w:sz w:val="21"/>
                <w:highlight w:val="none"/>
                <w14:textFill>
                  <w14:solidFill>
                    <w14:schemeClr w14:val="tx1"/>
                  </w14:solidFill>
                </w14:textFill>
              </w:rPr>
            </w:pPr>
          </w:p>
        </w:tc>
      </w:tr>
    </w:tbl>
    <w:p w14:paraId="074F21F0">
      <w:pPr>
        <w:spacing w:before="139" w:line="229" w:lineRule="auto"/>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pacing w:val="21"/>
          <w:sz w:val="22"/>
          <w:szCs w:val="22"/>
          <w:highlight w:val="none"/>
          <w14:textFill>
            <w14:solidFill>
              <w14:schemeClr w14:val="tx1"/>
            </w14:solidFill>
          </w14:textFill>
        </w:rPr>
        <w:t>注：1.本表须如实逐项填写，不得空缺。空缺将视为没有实质性响应谈判文件</w:t>
      </w:r>
      <w:r>
        <w:rPr>
          <w:rFonts w:hint="eastAsia" w:ascii="宋体" w:hAnsi="宋体" w:cs="宋体"/>
          <w:color w:val="000000" w:themeColor="text1"/>
          <w:spacing w:val="21"/>
          <w:sz w:val="22"/>
          <w:szCs w:val="22"/>
          <w:highlight w:val="none"/>
          <w:lang w:eastAsia="zh-CN"/>
          <w14:textFill>
            <w14:solidFill>
              <w14:schemeClr w14:val="tx1"/>
            </w14:solidFill>
          </w14:textFill>
        </w:rPr>
        <w:t>。</w:t>
      </w:r>
    </w:p>
    <w:p w14:paraId="05EAF928">
      <w:pPr>
        <w:spacing w:before="179" w:line="232" w:lineRule="auto"/>
        <w:ind w:firstLine="52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0"/>
          <w:sz w:val="22"/>
          <w:szCs w:val="22"/>
          <w:highlight w:val="none"/>
          <w14:textFill>
            <w14:solidFill>
              <w14:schemeClr w14:val="tx1"/>
            </w14:solidFill>
          </w14:textFill>
        </w:rPr>
        <w:t>2.若货物没有具体型号须注明</w:t>
      </w:r>
      <w:r>
        <w:rPr>
          <w:rFonts w:hint="eastAsia" w:ascii="宋体" w:hAnsi="宋体" w:cs="宋体"/>
          <w:color w:val="000000" w:themeColor="text1"/>
          <w:spacing w:val="20"/>
          <w:sz w:val="22"/>
          <w:szCs w:val="22"/>
          <w:highlight w:val="none"/>
          <w:lang w:eastAsia="zh-CN"/>
          <w14:textFill>
            <w14:solidFill>
              <w14:schemeClr w14:val="tx1"/>
            </w14:solidFill>
          </w14:textFill>
        </w:rPr>
        <w:t>，</w:t>
      </w:r>
      <w:r>
        <w:rPr>
          <w:rFonts w:hint="eastAsia" w:ascii="宋体" w:hAnsi="宋体" w:eastAsia="宋体" w:cs="宋体"/>
          <w:color w:val="000000" w:themeColor="text1"/>
          <w:spacing w:val="20"/>
          <w:sz w:val="22"/>
          <w:szCs w:val="22"/>
          <w:highlight w:val="none"/>
          <w14:textFill>
            <w14:solidFill>
              <w14:schemeClr w14:val="tx1"/>
            </w14:solidFill>
          </w14:textFill>
        </w:rPr>
        <w:t>各项货物详细技术性能可另页描述。</w:t>
      </w:r>
    </w:p>
    <w:p w14:paraId="394917C2">
      <w:pPr>
        <w:spacing w:line="254" w:lineRule="auto"/>
        <w:rPr>
          <w:rFonts w:hint="eastAsia" w:ascii="宋体" w:hAnsi="宋体" w:eastAsia="宋体" w:cs="宋体"/>
          <w:color w:val="000000" w:themeColor="text1"/>
          <w:sz w:val="21"/>
          <w:highlight w:val="none"/>
          <w14:textFill>
            <w14:solidFill>
              <w14:schemeClr w14:val="tx1"/>
            </w14:solidFill>
          </w14:textFill>
        </w:rPr>
      </w:pPr>
    </w:p>
    <w:p w14:paraId="294B91D3">
      <w:pPr>
        <w:spacing w:line="255" w:lineRule="auto"/>
        <w:rPr>
          <w:rFonts w:hint="eastAsia" w:ascii="宋体" w:hAnsi="宋体" w:eastAsia="宋体" w:cs="宋体"/>
          <w:color w:val="000000" w:themeColor="text1"/>
          <w:sz w:val="21"/>
          <w:highlight w:val="none"/>
          <w14:textFill>
            <w14:solidFill>
              <w14:schemeClr w14:val="tx1"/>
            </w14:solidFill>
          </w14:textFill>
        </w:rPr>
      </w:pPr>
    </w:p>
    <w:p w14:paraId="143A8655">
      <w:pPr>
        <w:spacing w:line="255" w:lineRule="auto"/>
        <w:rPr>
          <w:rFonts w:hint="eastAsia" w:ascii="宋体" w:hAnsi="宋体" w:eastAsia="宋体" w:cs="宋体"/>
          <w:color w:val="000000" w:themeColor="text1"/>
          <w:sz w:val="21"/>
          <w:highlight w:val="none"/>
          <w14:textFill>
            <w14:solidFill>
              <w14:schemeClr w14:val="tx1"/>
            </w14:solidFill>
          </w14:textFill>
        </w:rPr>
      </w:pPr>
    </w:p>
    <w:p w14:paraId="20AFC2CC">
      <w:pPr>
        <w:pStyle w:val="24"/>
        <w:keepLines w:val="0"/>
        <w:pageBreakBefore w:val="0"/>
        <w:overflowPunct w:val="0"/>
        <w:topLinePunct w:val="0"/>
        <w:bidi w:val="0"/>
        <w:spacing w:line="500" w:lineRule="exact"/>
        <w:ind w:firstLine="4620" w:firstLineChars="2200"/>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（单位全称、盖章）   </w:t>
      </w:r>
    </w:p>
    <w:p w14:paraId="77D678F7">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法定代表人或授权代表：</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（盖章或签字）    </w:t>
      </w:r>
    </w:p>
    <w:p w14:paraId="2FB7EFC9">
      <w:pPr>
        <w:keepLines w:val="0"/>
        <w:pageBreakBefore w:val="0"/>
        <w:overflowPunct w:val="0"/>
        <w:topLinePunct w:val="0"/>
        <w:bidi w:val="0"/>
        <w:spacing w:line="500" w:lineRule="exact"/>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谈判日期：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733A3A94">
      <w:pPr>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br w:type="page"/>
      </w:r>
    </w:p>
    <w:p w14:paraId="0699AAB0">
      <w:pPr>
        <w:keepLines w:val="0"/>
        <w:pageBreakBefore w:val="0"/>
        <w:numPr>
          <w:ilvl w:val="0"/>
          <w:numId w:val="0"/>
        </w:numPr>
        <w:overflowPunct w:val="0"/>
        <w:topLinePunct w:val="0"/>
        <w:bidi w:val="0"/>
        <w:spacing w:line="600" w:lineRule="exact"/>
        <w:ind w:left="0" w:leftChars="0" w:firstLine="723" w:firstLineChars="200"/>
        <w:jc w:val="center"/>
        <w:outlineLvl w:val="0"/>
        <w:rPr>
          <w:rFonts w:hint="eastAsia" w:ascii="宋体" w:hAnsi="宋体" w:eastAsia="宋体" w:cs="宋体"/>
          <w:b/>
          <w:bCs/>
          <w:color w:val="000000" w:themeColor="text1"/>
          <w:kern w:val="2"/>
          <w:sz w:val="36"/>
          <w:szCs w:val="36"/>
          <w:lang w:val="en-US" w:eastAsia="zh-CN" w:bidi="ar-SA"/>
          <w14:textFill>
            <w14:solidFill>
              <w14:schemeClr w14:val="tx1"/>
            </w14:solidFill>
          </w14:textFill>
        </w:rPr>
      </w:pPr>
      <w:bookmarkStart w:id="30" w:name="_Toc1284"/>
      <w:r>
        <w:rPr>
          <w:rFonts w:hint="eastAsia" w:ascii="宋体" w:hAnsi="宋体" w:eastAsia="宋体" w:cs="宋体"/>
          <w:b/>
          <w:bCs/>
          <w:color w:val="000000" w:themeColor="text1"/>
          <w:kern w:val="2"/>
          <w:sz w:val="36"/>
          <w:szCs w:val="36"/>
          <w:lang w:val="en-US" w:eastAsia="zh-CN" w:bidi="ar-SA"/>
          <w14:textFill>
            <w14:solidFill>
              <w14:schemeClr w14:val="tx1"/>
            </w14:solidFill>
          </w14:textFill>
        </w:rPr>
        <w:t>三、资格文件</w:t>
      </w:r>
      <w:bookmarkEnd w:id="30"/>
    </w:p>
    <w:p w14:paraId="0079C820">
      <w:pPr>
        <w:keepLines w:val="0"/>
        <w:pageBreakBefore w:val="0"/>
        <w:overflowPunct w:val="0"/>
        <w:topLinePunct w:val="0"/>
        <w:bidi w:val="0"/>
        <w:spacing w:line="440" w:lineRule="exact"/>
        <w:outlineLvl w:val="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1、供应商基本情况表</w:t>
      </w:r>
    </w:p>
    <w:tbl>
      <w:tblPr>
        <w:tblStyle w:val="20"/>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11"/>
        <w:gridCol w:w="2049"/>
        <w:gridCol w:w="1880"/>
        <w:gridCol w:w="1880"/>
        <w:gridCol w:w="1881"/>
      </w:tblGrid>
      <w:tr w14:paraId="2CC3E9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711" w:type="dxa"/>
            <w:noWrap w:val="0"/>
            <w:vAlign w:val="center"/>
          </w:tcPr>
          <w:p w14:paraId="48356C9D">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供应商名称</w:t>
            </w:r>
          </w:p>
        </w:tc>
        <w:tc>
          <w:tcPr>
            <w:tcW w:w="7690" w:type="dxa"/>
            <w:gridSpan w:val="4"/>
            <w:noWrap w:val="0"/>
            <w:vAlign w:val="center"/>
          </w:tcPr>
          <w:p w14:paraId="6A8564A9">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1DAFB1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711" w:type="dxa"/>
            <w:noWrap w:val="0"/>
            <w:vAlign w:val="center"/>
          </w:tcPr>
          <w:p w14:paraId="7CA68979">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注册地址</w:t>
            </w:r>
          </w:p>
        </w:tc>
        <w:tc>
          <w:tcPr>
            <w:tcW w:w="3929" w:type="dxa"/>
            <w:gridSpan w:val="2"/>
            <w:noWrap w:val="0"/>
            <w:vAlign w:val="center"/>
          </w:tcPr>
          <w:p w14:paraId="63E3BA47">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noWrap w:val="0"/>
            <w:vAlign w:val="center"/>
          </w:tcPr>
          <w:p w14:paraId="35105C1E">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邮政编码</w:t>
            </w:r>
          </w:p>
        </w:tc>
        <w:tc>
          <w:tcPr>
            <w:tcW w:w="1881" w:type="dxa"/>
            <w:noWrap w:val="0"/>
            <w:vAlign w:val="center"/>
          </w:tcPr>
          <w:p w14:paraId="59DA8F6C">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27091C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711" w:type="dxa"/>
            <w:vMerge w:val="restart"/>
            <w:noWrap w:val="0"/>
            <w:vAlign w:val="center"/>
          </w:tcPr>
          <w:p w14:paraId="4D21B408">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联系方式</w:t>
            </w:r>
          </w:p>
        </w:tc>
        <w:tc>
          <w:tcPr>
            <w:tcW w:w="2049" w:type="dxa"/>
            <w:noWrap w:val="0"/>
            <w:vAlign w:val="center"/>
          </w:tcPr>
          <w:p w14:paraId="7A411339">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p>
        </w:tc>
        <w:tc>
          <w:tcPr>
            <w:tcW w:w="1880" w:type="dxa"/>
            <w:noWrap w:val="0"/>
            <w:vAlign w:val="center"/>
          </w:tcPr>
          <w:p w14:paraId="65F7B442">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noWrap w:val="0"/>
            <w:vAlign w:val="center"/>
          </w:tcPr>
          <w:p w14:paraId="4CFD6060">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p>
        </w:tc>
        <w:tc>
          <w:tcPr>
            <w:tcW w:w="1881" w:type="dxa"/>
            <w:noWrap w:val="0"/>
            <w:vAlign w:val="center"/>
          </w:tcPr>
          <w:p w14:paraId="7DF03B07">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765A58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711" w:type="dxa"/>
            <w:vMerge w:val="continue"/>
            <w:noWrap w:val="0"/>
            <w:vAlign w:val="center"/>
          </w:tcPr>
          <w:p w14:paraId="505E6291">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2049" w:type="dxa"/>
            <w:noWrap w:val="0"/>
            <w:vAlign w:val="center"/>
          </w:tcPr>
          <w:p w14:paraId="5D4B1303">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传真</w:t>
            </w:r>
          </w:p>
        </w:tc>
        <w:tc>
          <w:tcPr>
            <w:tcW w:w="1880" w:type="dxa"/>
            <w:noWrap w:val="0"/>
            <w:vAlign w:val="center"/>
          </w:tcPr>
          <w:p w14:paraId="32C0E15D">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noWrap w:val="0"/>
            <w:vAlign w:val="center"/>
          </w:tcPr>
          <w:p w14:paraId="1CB18A8A">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网址</w:t>
            </w:r>
          </w:p>
        </w:tc>
        <w:tc>
          <w:tcPr>
            <w:tcW w:w="1881" w:type="dxa"/>
            <w:noWrap w:val="0"/>
            <w:vAlign w:val="center"/>
          </w:tcPr>
          <w:p w14:paraId="5F1F39BC">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548414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711" w:type="dxa"/>
            <w:noWrap w:val="0"/>
            <w:vAlign w:val="center"/>
          </w:tcPr>
          <w:p w14:paraId="2F906B1B">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单位性质</w:t>
            </w:r>
          </w:p>
        </w:tc>
        <w:tc>
          <w:tcPr>
            <w:tcW w:w="7690" w:type="dxa"/>
            <w:gridSpan w:val="4"/>
            <w:noWrap w:val="0"/>
            <w:vAlign w:val="center"/>
          </w:tcPr>
          <w:p w14:paraId="6700BDA7">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701FAE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711" w:type="dxa"/>
            <w:noWrap w:val="0"/>
            <w:vAlign w:val="center"/>
          </w:tcPr>
          <w:p w14:paraId="6A300E70">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w:t>
            </w:r>
          </w:p>
        </w:tc>
        <w:tc>
          <w:tcPr>
            <w:tcW w:w="2049" w:type="dxa"/>
            <w:noWrap w:val="0"/>
            <w:vAlign w:val="center"/>
          </w:tcPr>
          <w:p w14:paraId="79E0FBB7">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姓名</w:t>
            </w:r>
          </w:p>
        </w:tc>
        <w:tc>
          <w:tcPr>
            <w:tcW w:w="1880" w:type="dxa"/>
            <w:noWrap w:val="0"/>
            <w:vAlign w:val="center"/>
          </w:tcPr>
          <w:p w14:paraId="6F3C43F5">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noWrap w:val="0"/>
            <w:vAlign w:val="center"/>
          </w:tcPr>
          <w:p w14:paraId="661A05CE">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p>
        </w:tc>
        <w:tc>
          <w:tcPr>
            <w:tcW w:w="1881" w:type="dxa"/>
            <w:noWrap w:val="0"/>
            <w:vAlign w:val="center"/>
          </w:tcPr>
          <w:p w14:paraId="73A36313">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0086C9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711" w:type="dxa"/>
            <w:noWrap w:val="0"/>
            <w:vAlign w:val="center"/>
          </w:tcPr>
          <w:p w14:paraId="47573924">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注册资金</w:t>
            </w:r>
          </w:p>
        </w:tc>
        <w:tc>
          <w:tcPr>
            <w:tcW w:w="2049" w:type="dxa"/>
            <w:noWrap w:val="0"/>
            <w:vAlign w:val="center"/>
          </w:tcPr>
          <w:p w14:paraId="7C6F7AAE">
            <w:pPr>
              <w:keepLines w:val="0"/>
              <w:pageBreakBefore w:val="0"/>
              <w:overflowPunct w:val="0"/>
              <w:topLinePunct w:val="0"/>
              <w:autoSpaceDE w:val="0"/>
              <w:autoSpaceDN w:val="0"/>
              <w:bidi w:val="0"/>
              <w:adjustRightInd w:val="0"/>
              <w:spacing w:line="400" w:lineRule="exact"/>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万元</w:t>
            </w:r>
          </w:p>
        </w:tc>
        <w:tc>
          <w:tcPr>
            <w:tcW w:w="1880" w:type="dxa"/>
            <w:vMerge w:val="restart"/>
            <w:noWrap w:val="0"/>
            <w:vAlign w:val="center"/>
          </w:tcPr>
          <w:p w14:paraId="25BA249C">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固定资产</w:t>
            </w:r>
          </w:p>
        </w:tc>
        <w:tc>
          <w:tcPr>
            <w:tcW w:w="1880" w:type="dxa"/>
            <w:noWrap w:val="0"/>
            <w:vAlign w:val="center"/>
          </w:tcPr>
          <w:p w14:paraId="3430E93B">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原值</w:t>
            </w:r>
          </w:p>
        </w:tc>
        <w:tc>
          <w:tcPr>
            <w:tcW w:w="1881" w:type="dxa"/>
            <w:noWrap w:val="0"/>
            <w:vAlign w:val="center"/>
          </w:tcPr>
          <w:p w14:paraId="71487DAD">
            <w:pPr>
              <w:keepLines w:val="0"/>
              <w:pageBreakBefore w:val="0"/>
              <w:overflowPunct w:val="0"/>
              <w:topLinePunct w:val="0"/>
              <w:autoSpaceDE w:val="0"/>
              <w:autoSpaceDN w:val="0"/>
              <w:bidi w:val="0"/>
              <w:adjustRightInd w:val="0"/>
              <w:spacing w:line="400" w:lineRule="exact"/>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万元</w:t>
            </w:r>
          </w:p>
        </w:tc>
      </w:tr>
      <w:tr w14:paraId="2B6813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711" w:type="dxa"/>
            <w:noWrap w:val="0"/>
            <w:vAlign w:val="center"/>
          </w:tcPr>
          <w:p w14:paraId="72DEE8B3">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流动资金</w:t>
            </w:r>
          </w:p>
        </w:tc>
        <w:tc>
          <w:tcPr>
            <w:tcW w:w="2049" w:type="dxa"/>
            <w:noWrap w:val="0"/>
            <w:vAlign w:val="center"/>
          </w:tcPr>
          <w:p w14:paraId="73BD18EA">
            <w:pPr>
              <w:keepLines w:val="0"/>
              <w:pageBreakBefore w:val="0"/>
              <w:overflowPunct w:val="0"/>
              <w:topLinePunct w:val="0"/>
              <w:autoSpaceDE w:val="0"/>
              <w:autoSpaceDN w:val="0"/>
              <w:bidi w:val="0"/>
              <w:adjustRightInd w:val="0"/>
              <w:spacing w:line="400" w:lineRule="exact"/>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万元</w:t>
            </w:r>
          </w:p>
        </w:tc>
        <w:tc>
          <w:tcPr>
            <w:tcW w:w="1880" w:type="dxa"/>
            <w:vMerge w:val="continue"/>
            <w:noWrap w:val="0"/>
            <w:vAlign w:val="center"/>
          </w:tcPr>
          <w:p w14:paraId="054D593A">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noWrap w:val="0"/>
            <w:vAlign w:val="center"/>
          </w:tcPr>
          <w:p w14:paraId="21A7A56E">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净值</w:t>
            </w:r>
          </w:p>
        </w:tc>
        <w:tc>
          <w:tcPr>
            <w:tcW w:w="1881" w:type="dxa"/>
            <w:noWrap w:val="0"/>
            <w:vAlign w:val="center"/>
          </w:tcPr>
          <w:p w14:paraId="6CC37F64">
            <w:pPr>
              <w:keepLines w:val="0"/>
              <w:pageBreakBefore w:val="0"/>
              <w:overflowPunct w:val="0"/>
              <w:topLinePunct w:val="0"/>
              <w:autoSpaceDE w:val="0"/>
              <w:autoSpaceDN w:val="0"/>
              <w:bidi w:val="0"/>
              <w:adjustRightInd w:val="0"/>
              <w:spacing w:line="400" w:lineRule="exact"/>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万元</w:t>
            </w:r>
          </w:p>
        </w:tc>
      </w:tr>
      <w:tr w14:paraId="073A03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711" w:type="dxa"/>
            <w:noWrap w:val="0"/>
            <w:vAlign w:val="center"/>
          </w:tcPr>
          <w:p w14:paraId="7BD25A2A">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开户银行</w:t>
            </w:r>
          </w:p>
        </w:tc>
        <w:tc>
          <w:tcPr>
            <w:tcW w:w="2049" w:type="dxa"/>
            <w:noWrap w:val="0"/>
            <w:vAlign w:val="center"/>
          </w:tcPr>
          <w:p w14:paraId="6E01F635">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vMerge w:val="restart"/>
            <w:noWrap w:val="0"/>
            <w:vAlign w:val="center"/>
          </w:tcPr>
          <w:p w14:paraId="5B67B287">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职工人数</w:t>
            </w:r>
          </w:p>
        </w:tc>
        <w:tc>
          <w:tcPr>
            <w:tcW w:w="1880" w:type="dxa"/>
            <w:noWrap w:val="0"/>
            <w:vAlign w:val="center"/>
          </w:tcPr>
          <w:p w14:paraId="786AEF5F">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生产工人</w:t>
            </w:r>
          </w:p>
        </w:tc>
        <w:tc>
          <w:tcPr>
            <w:tcW w:w="1881" w:type="dxa"/>
            <w:noWrap w:val="0"/>
            <w:vAlign w:val="center"/>
          </w:tcPr>
          <w:p w14:paraId="30267F7E">
            <w:pPr>
              <w:keepLines w:val="0"/>
              <w:pageBreakBefore w:val="0"/>
              <w:overflowPunct w:val="0"/>
              <w:topLinePunct w:val="0"/>
              <w:autoSpaceDE w:val="0"/>
              <w:autoSpaceDN w:val="0"/>
              <w:bidi w:val="0"/>
              <w:adjustRightInd w:val="0"/>
              <w:spacing w:line="400" w:lineRule="exact"/>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人</w:t>
            </w:r>
          </w:p>
        </w:tc>
      </w:tr>
      <w:tr w14:paraId="60C7F5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711" w:type="dxa"/>
            <w:noWrap w:val="0"/>
            <w:vAlign w:val="center"/>
          </w:tcPr>
          <w:p w14:paraId="5431862A">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账号</w:t>
            </w:r>
          </w:p>
        </w:tc>
        <w:tc>
          <w:tcPr>
            <w:tcW w:w="2049" w:type="dxa"/>
            <w:noWrap w:val="0"/>
            <w:vAlign w:val="center"/>
          </w:tcPr>
          <w:p w14:paraId="60C2AFBF">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基本银行账号</w:t>
            </w:r>
          </w:p>
        </w:tc>
        <w:tc>
          <w:tcPr>
            <w:tcW w:w="1880" w:type="dxa"/>
            <w:vMerge w:val="continue"/>
            <w:noWrap w:val="0"/>
            <w:vAlign w:val="center"/>
          </w:tcPr>
          <w:p w14:paraId="37FD2F4D">
            <w:pPr>
              <w:keepLines w:val="0"/>
              <w:pageBreakBefore w:val="0"/>
              <w:overflowPunct w:val="0"/>
              <w:topLinePunct w:val="0"/>
              <w:bidi w:val="0"/>
              <w:spacing w:line="440" w:lineRule="exact"/>
              <w:jc w:val="center"/>
              <w:rPr>
                <w:rFonts w:hint="eastAsia" w:ascii="宋体" w:hAnsi="宋体" w:eastAsia="宋体" w:cs="宋体"/>
                <w:color w:val="000000" w:themeColor="text1"/>
                <w:szCs w:val="21"/>
                <w:highlight w:val="none"/>
                <w14:textFill>
                  <w14:solidFill>
                    <w14:schemeClr w14:val="tx1"/>
                  </w14:solidFill>
                </w14:textFill>
              </w:rPr>
            </w:pPr>
          </w:p>
        </w:tc>
        <w:tc>
          <w:tcPr>
            <w:tcW w:w="1880" w:type="dxa"/>
            <w:noWrap w:val="0"/>
            <w:vAlign w:val="center"/>
          </w:tcPr>
          <w:p w14:paraId="045909DA">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技术人员</w:t>
            </w:r>
          </w:p>
        </w:tc>
        <w:tc>
          <w:tcPr>
            <w:tcW w:w="1881" w:type="dxa"/>
            <w:noWrap w:val="0"/>
            <w:vAlign w:val="center"/>
          </w:tcPr>
          <w:p w14:paraId="1B0A9FE6">
            <w:pPr>
              <w:keepLines w:val="0"/>
              <w:pageBreakBefore w:val="0"/>
              <w:overflowPunct w:val="0"/>
              <w:topLinePunct w:val="0"/>
              <w:autoSpaceDE w:val="0"/>
              <w:autoSpaceDN w:val="0"/>
              <w:bidi w:val="0"/>
              <w:adjustRightInd w:val="0"/>
              <w:spacing w:line="400" w:lineRule="exact"/>
              <w:jc w:val="righ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人</w:t>
            </w:r>
          </w:p>
        </w:tc>
      </w:tr>
      <w:tr w14:paraId="02FF6E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1711" w:type="dxa"/>
            <w:noWrap w:val="0"/>
            <w:vAlign w:val="center"/>
          </w:tcPr>
          <w:p w14:paraId="40D9B058">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经营范围</w:t>
            </w:r>
          </w:p>
        </w:tc>
        <w:tc>
          <w:tcPr>
            <w:tcW w:w="7690" w:type="dxa"/>
            <w:gridSpan w:val="4"/>
            <w:noWrap w:val="0"/>
            <w:vAlign w:val="center"/>
          </w:tcPr>
          <w:p w14:paraId="5CFAC53E">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r w14:paraId="2727DA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1711" w:type="dxa"/>
            <w:noWrap w:val="0"/>
            <w:vAlign w:val="center"/>
          </w:tcPr>
          <w:p w14:paraId="51A67880">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w:t>
            </w:r>
          </w:p>
        </w:tc>
        <w:tc>
          <w:tcPr>
            <w:tcW w:w="7690" w:type="dxa"/>
            <w:gridSpan w:val="4"/>
            <w:noWrap w:val="0"/>
            <w:vAlign w:val="center"/>
          </w:tcPr>
          <w:p w14:paraId="7E091E72">
            <w:pPr>
              <w:keepLines w:val="0"/>
              <w:pageBreakBefore w:val="0"/>
              <w:overflowPunct w:val="0"/>
              <w:topLinePunct w:val="0"/>
              <w:autoSpaceDE w:val="0"/>
              <w:autoSpaceDN w:val="0"/>
              <w:bidi w:val="0"/>
              <w:adjustRightInd w:val="0"/>
              <w:spacing w:line="400" w:lineRule="exact"/>
              <w:jc w:val="center"/>
              <w:rPr>
                <w:rFonts w:hint="eastAsia" w:ascii="宋体" w:hAnsi="宋体" w:eastAsia="宋体" w:cs="宋体"/>
                <w:color w:val="000000" w:themeColor="text1"/>
                <w:szCs w:val="21"/>
                <w:highlight w:val="none"/>
                <w14:textFill>
                  <w14:solidFill>
                    <w14:schemeClr w14:val="tx1"/>
                  </w14:solidFill>
                </w14:textFill>
              </w:rPr>
            </w:pPr>
          </w:p>
        </w:tc>
      </w:tr>
    </w:tbl>
    <w:p w14:paraId="6D8191FF">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3BC88A6A">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（单位全称、盖章）   </w:t>
      </w:r>
    </w:p>
    <w:p w14:paraId="0AAB22E7">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法定代表人或授权代表：</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（盖章或签字）    </w:t>
      </w:r>
    </w:p>
    <w:p w14:paraId="54E241EE">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谈判日期：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244F4948">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6CEC9E79">
      <w:pPr>
        <w:keepNext w:val="0"/>
        <w:keepLines w:val="0"/>
        <w:pageBreakBefore w:val="0"/>
        <w:widowControl w:val="0"/>
        <w:numPr>
          <w:ilvl w:val="0"/>
          <w:numId w:val="9"/>
        </w:numPr>
        <w:kinsoku/>
        <w:wordWrap/>
        <w:overflowPunct w:val="0"/>
        <w:topLinePunct w:val="0"/>
        <w:autoSpaceDE/>
        <w:autoSpaceDN/>
        <w:bidi w:val="0"/>
        <w:adjustRightInd/>
        <w:snapToGrid/>
        <w:spacing w:line="500" w:lineRule="exact"/>
        <w:textAlignment w:val="auto"/>
        <w:outlineLvl w:val="1"/>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供应商资格文件</w:t>
      </w:r>
    </w:p>
    <w:p w14:paraId="54FF7EE4">
      <w:pPr>
        <w:keepNext w:val="0"/>
        <w:keepLines w:val="0"/>
        <w:pageBreakBefore w:val="0"/>
        <w:widowControl w:val="0"/>
        <w:kinsoku/>
        <w:wordWrap/>
        <w:overflowPunct w:val="0"/>
        <w:topLinePunct w:val="0"/>
        <w:autoSpaceDE/>
        <w:autoSpaceDN/>
        <w:bidi w:val="0"/>
        <w:adjustRightInd/>
        <w:snapToGrid/>
        <w:spacing w:line="500" w:lineRule="exact"/>
        <w:ind w:right="0" w:rightChars="0"/>
        <w:textAlignment w:val="auto"/>
        <w:outlineLvl w:val="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须符合《中华人民共和国政府采购法》第二十二条有关规定：</w:t>
      </w:r>
    </w:p>
    <w:p w14:paraId="633DEC73">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t>具有独立承担民事责任的能力，提供营业执照、税务登记证、组织机构代码证或登载有统一社会信用代码的营业执照（或《事业单位法人证书》或其他合法组织登记证书、自然人只须提交身份证复印件）</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p>
    <w:p w14:paraId="30D8E3A9">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t>提供法定代表人授权书（附法定代表人身份证复印件）及被授权代表身份证复印件（法定代表人直接参加只须提供法定代表人身份证复印件）</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0AA770F6">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财务状况报告：</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提供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p>
    <w:p w14:paraId="1E24D4AB">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税收缴纳证明</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t>:</w:t>
      </w:r>
      <w:r>
        <w:rPr>
          <w:rFonts w:hint="eastAsia" w:cs="宋体"/>
          <w:b w:val="0"/>
          <w:bCs w:val="0"/>
          <w:i w:val="0"/>
          <w:iCs w:val="0"/>
          <w:caps w:val="0"/>
          <w:color w:val="000000" w:themeColor="text1"/>
          <w:spacing w:val="0"/>
          <w:sz w:val="24"/>
          <w:szCs w:val="24"/>
          <w:highlight w:val="none"/>
          <w:u w:val="none"/>
          <w:shd w:val="clear" w:fill="FFFFFF"/>
          <w:lang w:eastAsia="zh-CN"/>
          <w14:textFill>
            <w14:solidFill>
              <w14:schemeClr w14:val="tx1"/>
            </w14:solidFill>
          </w14:textFill>
        </w:rPr>
        <w:t>自2026年01月至今至少1个月的纳税证明或完税证明,纳税证明或完税证明上应有代收机构或税务机关的公章或业务专用章。依法免税的供应商应提供相关文件证明；</w:t>
      </w:r>
      <w:r>
        <w:rPr>
          <w:rFonts w:hint="eastAsia" w:ascii="宋体" w:hAnsi="宋体" w:eastAsia="宋体" w:cs="宋体"/>
          <w:b w:val="0"/>
          <w:bCs w:val="0"/>
          <w:i w:val="0"/>
          <w:iCs w:val="0"/>
          <w:caps w:val="0"/>
          <w:color w:val="000000" w:themeColor="text1"/>
          <w:spacing w:val="0"/>
          <w:sz w:val="24"/>
          <w:szCs w:val="24"/>
          <w:highlight w:val="none"/>
          <w:u w:val="none"/>
          <w:shd w:val="clear" w:fill="FFFFFF"/>
          <w14:textFill>
            <w14:solidFill>
              <w14:schemeClr w14:val="tx1"/>
            </w14:solidFill>
          </w14:textFill>
        </w:rPr>
        <w:br w:type="textWrapping"/>
      </w:r>
      <w:r>
        <w:rPr>
          <w:rFonts w:hint="eastAsia"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5</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社会保障资金缴纳证明：自2026年01月至今已缴存的至少1个月的社会保障资金缴存单据或社保机构开具的社会保险参保缴费情况证明，单据或证明上应有社保机构或代收机构的印章。依法不需要缴纳社会保障资金的供应商应提供相关文件证明；</w:t>
      </w:r>
    </w:p>
    <w:p w14:paraId="174D45C5">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参加政府采购活动前三年内（2023年1月至今），在经营活动中没有重大违法记录的书面声明</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6EF0DAE6">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具备履行合同所必需的设备和专业技术能力的书面声明（格式自拟）；</w:t>
      </w:r>
    </w:p>
    <w:p w14:paraId="4A0F3BA4">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shd w:val="clear" w:fill="FFFFFF"/>
          <w:lang w:val="en-US" w:eastAsia="zh-CN"/>
          <w14:textFill>
            <w14:solidFill>
              <w14:schemeClr w14:val="tx1"/>
            </w14:solidFill>
          </w14:textFill>
        </w:rPr>
        <w:t>8</w:t>
      </w: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供应商不得被列为“信用中国”网站(www.creditchina.gov.cn)“信用服务”中“失信被执行人、重大税收违法案件当事人名单、政府采购严重违法失信名单”和中国政府采购网(www.ccgp.gov.cn)“政府采购严重违法失信行为信息记录”；</w:t>
      </w:r>
    </w:p>
    <w:p w14:paraId="43FAAB13">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fill="FFFFFF"/>
          <w:lang w:eastAsia="zh-CN"/>
          <w14:textFill>
            <w14:solidFill>
              <w14:schemeClr w14:val="tx1"/>
            </w14:solidFill>
          </w14:textFill>
        </w:rPr>
        <w:t>（9）生产厂家投标需提供《药品生产许可证》及药品批准文号或《药品注册证书》；代理商投标须提供《药品经营许可证》（经营范围含叶酸）及所投药品的合法上市证明；</w:t>
      </w:r>
    </w:p>
    <w:p w14:paraId="312BB66A">
      <w:pPr>
        <w:pStyle w:val="1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val="0"/>
        <w:wordWrap/>
        <w:overflowPunct w:val="0"/>
        <w:topLinePunct w:val="0"/>
        <w:autoSpaceDE w:val="0"/>
        <w:autoSpaceDN w:val="0"/>
        <w:bidi w:val="0"/>
        <w:adjustRightInd w:val="0"/>
        <w:snapToGrid w:val="0"/>
        <w:spacing w:before="0" w:beforeAutospacing="0" w:after="0" w:afterAutospacing="0" w:line="360" w:lineRule="auto"/>
        <w:ind w:leftChars="200" w:right="0" w:rightChars="0" w:firstLine="480" w:firstLineChars="200"/>
        <w:jc w:val="both"/>
        <w:textAlignment w:val="baseline"/>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pP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cs="宋体"/>
          <w:i w:val="0"/>
          <w:iCs w:val="0"/>
          <w:caps w:val="0"/>
          <w:color w:val="000000" w:themeColor="text1"/>
          <w:spacing w:val="0"/>
          <w:sz w:val="24"/>
          <w:szCs w:val="24"/>
          <w:highlight w:val="none"/>
          <w:shd w:val="clear" w:fill="FFFFFF"/>
          <w:lang w:val="en-US" w:eastAsia="zh-CN"/>
          <w14:textFill>
            <w14:solidFill>
              <w14:schemeClr w14:val="tx1"/>
            </w14:solidFill>
          </w14:textFill>
        </w:rPr>
        <w:t>10</w:t>
      </w:r>
      <w:r>
        <w:rPr>
          <w:rFonts w:hint="eastAsia" w:cs="宋体"/>
          <w:i w:val="0"/>
          <w:iCs w:val="0"/>
          <w:caps w:val="0"/>
          <w:color w:val="000000" w:themeColor="text1"/>
          <w:spacing w:val="0"/>
          <w:sz w:val="24"/>
          <w:szCs w:val="24"/>
          <w:highlight w:val="none"/>
          <w:shd w:val="clear" w:fill="FFFFFF"/>
          <w:lang w:eastAsia="zh-CN"/>
          <w14:textFill>
            <w14:solidFill>
              <w14:schemeClr w14:val="tx1"/>
            </w14:solidFill>
          </w14:textFill>
        </w:rPr>
        <w:t>）本项目不接受联合体投标</w:t>
      </w:r>
      <w:r>
        <w:rPr>
          <w:rFonts w:hint="eastAsia" w:ascii="宋体" w:hAnsi="宋体" w:eastAsia="宋体" w:cs="宋体"/>
          <w:i w:val="0"/>
          <w:iCs w:val="0"/>
          <w:caps w:val="0"/>
          <w:color w:val="000000" w:themeColor="text1"/>
          <w:spacing w:val="0"/>
          <w:sz w:val="24"/>
          <w:szCs w:val="24"/>
          <w:highlight w:val="none"/>
          <w:shd w:val="clear" w:fill="FFFFFF"/>
          <w14:textFill>
            <w14:solidFill>
              <w14:schemeClr w14:val="tx1"/>
            </w14:solidFill>
          </w14:textFill>
        </w:rPr>
        <w:t>。</w:t>
      </w:r>
    </w:p>
    <w:p w14:paraId="5907D8E2">
      <w:pPr>
        <w:keepNext w:val="0"/>
        <w:keepLines w:val="0"/>
        <w:pageBreakBefore w:val="0"/>
        <w:widowControl w:val="0"/>
        <w:numPr>
          <w:ilvl w:val="0"/>
          <w:numId w:val="0"/>
        </w:numPr>
        <w:kinsoku/>
        <w:wordWrap/>
        <w:overflowPunct w:val="0"/>
        <w:topLinePunct w:val="0"/>
        <w:autoSpaceDE/>
        <w:autoSpaceDN/>
        <w:bidi w:val="0"/>
        <w:adjustRightInd/>
        <w:snapToGrid/>
        <w:spacing w:line="500" w:lineRule="exact"/>
        <w:ind w:firstLine="482" w:firstLineChars="200"/>
        <w:textAlignment w:val="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注：以上要求供应商提供的资格证明文件均为复印件并须加盖供应商公章</w:t>
      </w:r>
      <w:r>
        <w:rPr>
          <w:rFonts w:hint="eastAsia" w:ascii="宋体" w:hAnsi="宋体" w:eastAsia="宋体" w:cs="宋体"/>
          <w:b/>
          <w:color w:val="000000" w:themeColor="text1"/>
          <w:szCs w:val="21"/>
          <w:highlight w:val="none"/>
          <w14:textFill>
            <w14:solidFill>
              <w14:schemeClr w14:val="tx1"/>
            </w14:solidFill>
          </w14:textFill>
        </w:rPr>
        <w:t>。</w:t>
      </w:r>
    </w:p>
    <w:p w14:paraId="320289AF">
      <w:pPr>
        <w:keepLines w:val="0"/>
        <w:pageBreakBefore w:val="0"/>
        <w:overflowPunct w:val="0"/>
        <w:topLinePunct w:val="0"/>
        <w:bidi w:val="0"/>
        <w:spacing w:line="440" w:lineRule="exact"/>
        <w:rPr>
          <w:rFonts w:hint="eastAsia" w:ascii="宋体" w:hAnsi="宋体" w:eastAsia="宋体" w:cs="宋体"/>
          <w:b/>
          <w:color w:val="000000" w:themeColor="text1"/>
          <w:szCs w:val="21"/>
          <w:highlight w:val="none"/>
          <w14:textFill>
            <w14:solidFill>
              <w14:schemeClr w14:val="tx1"/>
            </w14:solidFill>
          </w14:textFill>
        </w:rPr>
      </w:pPr>
    </w:p>
    <w:p w14:paraId="769C6DEC">
      <w:pP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r>
    </w:p>
    <w:p w14:paraId="52D89C77">
      <w:pPr>
        <w:keepLines w:val="0"/>
        <w:pageBreakBefore w:val="0"/>
        <w:overflowPunct w:val="0"/>
        <w:topLinePunct w:val="0"/>
        <w:bidi w:val="0"/>
        <w:spacing w:before="120" w:beforeLines="50" w:line="440" w:lineRule="exact"/>
        <w:jc w:val="left"/>
        <w:outlineLvl w:val="0"/>
        <w:rPr>
          <w:rFonts w:hint="eastAsia" w:ascii="宋体" w:hAnsi="宋体" w:eastAsia="宋体" w:cs="宋体"/>
          <w:b/>
          <w:color w:val="000000" w:themeColor="text1"/>
          <w:szCs w:val="21"/>
          <w:highlight w:val="none"/>
          <w14:textFill>
            <w14:solidFill>
              <w14:schemeClr w14:val="tx1"/>
            </w14:solidFill>
          </w14:textFill>
        </w:rPr>
      </w:pPr>
      <w:bookmarkStart w:id="31" w:name="_Toc30790"/>
      <w:r>
        <w:rPr>
          <w:rFonts w:hint="eastAsia" w:ascii="宋体" w:hAnsi="宋体" w:eastAsia="宋体" w:cs="宋体"/>
          <w:b/>
          <w:color w:val="000000" w:themeColor="text1"/>
          <w:szCs w:val="21"/>
          <w:highlight w:val="none"/>
          <w14:textFill>
            <w14:solidFill>
              <w14:schemeClr w14:val="tx1"/>
            </w14:solidFill>
          </w14:textFill>
        </w:rPr>
        <w:t>附件1：</w:t>
      </w:r>
      <w:bookmarkEnd w:id="31"/>
    </w:p>
    <w:p w14:paraId="718531B8">
      <w:pPr>
        <w:keepLines w:val="0"/>
        <w:pageBreakBefore w:val="0"/>
        <w:overflowPunct w:val="0"/>
        <w:topLinePunct w:val="0"/>
        <w:bidi w:val="0"/>
        <w:spacing w:before="120" w:beforeLines="50" w:after="120" w:afterLines="50" w:line="440" w:lineRule="exact"/>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法定代表人授权书（格式）</w:t>
      </w:r>
    </w:p>
    <w:p w14:paraId="2AD67EF2">
      <w:pPr>
        <w:keepLines w:val="0"/>
        <w:pageBreakBefore w:val="0"/>
        <w:overflowPunct w:val="0"/>
        <w:topLinePunct w:val="0"/>
        <w:bidi w:val="0"/>
        <w:spacing w:before="120" w:beforeLines="50" w:line="440" w:lineRule="exac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致：</w:t>
      </w:r>
      <w:r>
        <w:rPr>
          <w:rFonts w:hint="eastAsia" w:ascii="宋体" w:hAnsi="宋体" w:eastAsia="宋体" w:cs="宋体"/>
          <w:b/>
          <w:color w:val="000000" w:themeColor="text1"/>
          <w:szCs w:val="21"/>
          <w:highlight w:val="none"/>
          <w:lang w:eastAsia="zh-CN"/>
          <w14:textFill>
            <w14:solidFill>
              <w14:schemeClr w14:val="tx1"/>
            </w14:solidFill>
          </w14:textFill>
        </w:rPr>
        <w:t>安康华昊智远项目管理有限公司</w:t>
      </w:r>
    </w:p>
    <w:p w14:paraId="7572BF33">
      <w:pPr>
        <w:keepLines w:val="0"/>
        <w:pageBreakBefore w:val="0"/>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本授权声明：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（供应商名称）按中华人民共和国法律于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日成立。</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（法定代表人姓名、职务）特授权</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（被授权人姓名、职务、）为我方“</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”项目</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HHZY-2026-13</w:t>
      </w:r>
      <w:r>
        <w:rPr>
          <w:rFonts w:hint="eastAsia" w:ascii="宋体" w:hAnsi="宋体" w:eastAsia="宋体" w:cs="宋体"/>
          <w:color w:val="000000" w:themeColor="text1"/>
          <w:szCs w:val="21"/>
          <w:highlight w:val="none"/>
          <w14:textFill>
            <w14:solidFill>
              <w14:schemeClr w14:val="tx1"/>
            </w14:solidFill>
          </w14:textFill>
        </w:rPr>
        <w:t>）谈判活</w:t>
      </w:r>
      <w:r>
        <w:rPr>
          <w:rFonts w:hint="eastAsia" w:ascii="宋体" w:hAnsi="宋体" w:eastAsia="宋体" w:cs="宋体"/>
          <w:color w:val="000000" w:themeColor="text1"/>
          <w:szCs w:val="21"/>
          <w:highlight w:val="none"/>
          <w14:textFill>
            <w14:solidFill>
              <w14:schemeClr w14:val="tx1"/>
            </w14:solidFill>
          </w14:textFill>
        </w:rPr>
        <w:t>动的合法代表，以我方名义全权处理该项目有关谈判、签订合同以及执行合同等一切事宜，本单位均予承认并负全部责任。</w:t>
      </w:r>
    </w:p>
    <w:p w14:paraId="2E263A63">
      <w:pPr>
        <w:keepLines w:val="0"/>
        <w:pageBreakBefore w:val="0"/>
        <w:overflowPunct w:val="0"/>
        <w:topLinePunct w:val="0"/>
        <w:bidi w:val="0"/>
        <w:spacing w:line="440" w:lineRule="exact"/>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aps/>
          <w:color w:val="000000" w:themeColor="text1"/>
          <w:szCs w:val="21"/>
          <w:highlight w:val="none"/>
          <w14:textFill>
            <w14:solidFill>
              <w14:schemeClr w14:val="tx1"/>
            </w14:solidFill>
          </w14:textFill>
        </w:rPr>
        <w:t>本授权有效期自谈判之日起不得少于90天</w:t>
      </w:r>
    </w:p>
    <w:p w14:paraId="0B2CE72F">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附：1、授权代表信息：</w:t>
      </w:r>
    </w:p>
    <w:p w14:paraId="6F20D6F6">
      <w:pPr>
        <w:keepLines w:val="0"/>
        <w:pageBreakBefore w:val="0"/>
        <w:overflowPunct w:val="0"/>
        <w:topLinePunct w:val="0"/>
        <w:bidi w:val="0"/>
        <w:spacing w:line="440" w:lineRule="exact"/>
        <w:ind w:firstLine="735" w:firstLineChars="3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授权代表姓名：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性别：</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年龄：</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6D13B055">
      <w:pPr>
        <w:keepLines w:val="0"/>
        <w:pageBreakBefore w:val="0"/>
        <w:overflowPunct w:val="0"/>
        <w:topLinePunct w:val="0"/>
        <w:bidi w:val="0"/>
        <w:spacing w:line="440" w:lineRule="exact"/>
        <w:ind w:firstLine="555"/>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身份证号码：</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职务：</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28787FA">
      <w:pPr>
        <w:keepLines w:val="0"/>
        <w:pageBreakBefore w:val="0"/>
        <w:overflowPunct w:val="0"/>
        <w:topLinePunct w:val="0"/>
        <w:bidi w:val="0"/>
        <w:spacing w:line="440" w:lineRule="exact"/>
        <w:ind w:firstLine="55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通讯地址：</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1708DBB5">
      <w:pPr>
        <w:keepLines w:val="0"/>
        <w:pageBreakBefore w:val="0"/>
        <w:overflowPunct w:val="0"/>
        <w:topLinePunct w:val="0"/>
        <w:bidi w:val="0"/>
        <w:spacing w:line="440" w:lineRule="exact"/>
        <w:ind w:firstLine="555"/>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邮政编码：</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电话：</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 传真：</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A7AC946">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2、法定代表人身份证复印件、授权代表身份证复印件（正反两面）</w:t>
      </w:r>
    </w:p>
    <w:tbl>
      <w:tblPr>
        <w:tblStyle w:val="20"/>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gridCol w:w="4630"/>
      </w:tblGrid>
      <w:tr w14:paraId="0546B7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04" w:hRule="atLeast"/>
        </w:trPr>
        <w:tc>
          <w:tcPr>
            <w:tcW w:w="4630" w:type="dxa"/>
            <w:noWrap w:val="0"/>
            <w:vAlign w:val="top"/>
          </w:tcPr>
          <w:p w14:paraId="592FDAE8">
            <w:pPr>
              <w:keepLines w:val="0"/>
              <w:pageBreakBefore w:val="0"/>
              <w:overflowPunct w:val="0"/>
              <w:topLinePunct w:val="0"/>
              <w:bidi w:val="0"/>
              <w:spacing w:line="480" w:lineRule="exact"/>
              <w:rPr>
                <w:rFonts w:hint="eastAsia" w:ascii="宋体" w:hAnsi="宋体" w:eastAsia="宋体" w:cs="宋体"/>
                <w:color w:val="000000" w:themeColor="text1"/>
                <w:szCs w:val="21"/>
                <w:highlight w:val="none"/>
                <w14:textFill>
                  <w14:solidFill>
                    <w14:schemeClr w14:val="tx1"/>
                  </w14:solidFill>
                </w14:textFill>
              </w:rPr>
            </w:pPr>
          </w:p>
        </w:tc>
        <w:tc>
          <w:tcPr>
            <w:tcW w:w="4630" w:type="dxa"/>
            <w:noWrap w:val="0"/>
            <w:vAlign w:val="top"/>
          </w:tcPr>
          <w:p w14:paraId="40B2ED50">
            <w:pPr>
              <w:keepLines w:val="0"/>
              <w:pageBreakBefore w:val="0"/>
              <w:overflowPunct w:val="0"/>
              <w:topLinePunct w:val="0"/>
              <w:bidi w:val="0"/>
              <w:spacing w:line="480" w:lineRule="exact"/>
              <w:rPr>
                <w:rFonts w:hint="eastAsia" w:ascii="宋体" w:hAnsi="宋体" w:eastAsia="宋体" w:cs="宋体"/>
                <w:color w:val="000000" w:themeColor="text1"/>
                <w:szCs w:val="21"/>
                <w:highlight w:val="none"/>
                <w14:textFill>
                  <w14:solidFill>
                    <w14:schemeClr w14:val="tx1"/>
                  </w14:solidFill>
                </w14:textFill>
              </w:rPr>
            </w:pPr>
          </w:p>
        </w:tc>
      </w:tr>
      <w:tr w14:paraId="5B030F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630" w:type="dxa"/>
            <w:noWrap w:val="0"/>
            <w:vAlign w:val="top"/>
          </w:tcPr>
          <w:p w14:paraId="62401717">
            <w:pPr>
              <w:keepLines w:val="0"/>
              <w:pageBreakBefore w:val="0"/>
              <w:overflowPunct w:val="0"/>
              <w:topLinePunct w:val="0"/>
              <w:bidi w:val="0"/>
              <w:spacing w:line="480" w:lineRule="exact"/>
              <w:rPr>
                <w:rFonts w:hint="eastAsia" w:ascii="宋体" w:hAnsi="宋体" w:eastAsia="宋体" w:cs="宋体"/>
                <w:color w:val="000000" w:themeColor="text1"/>
                <w:szCs w:val="21"/>
                <w:highlight w:val="none"/>
                <w14:textFill>
                  <w14:solidFill>
                    <w14:schemeClr w14:val="tx1"/>
                  </w14:solidFill>
                </w14:textFill>
              </w:rPr>
            </w:pPr>
          </w:p>
        </w:tc>
        <w:tc>
          <w:tcPr>
            <w:tcW w:w="4630" w:type="dxa"/>
            <w:noWrap w:val="0"/>
            <w:vAlign w:val="top"/>
          </w:tcPr>
          <w:p w14:paraId="64A99DE0">
            <w:pPr>
              <w:keepLines w:val="0"/>
              <w:pageBreakBefore w:val="0"/>
              <w:overflowPunct w:val="0"/>
              <w:topLinePunct w:val="0"/>
              <w:bidi w:val="0"/>
              <w:spacing w:line="480" w:lineRule="exact"/>
              <w:rPr>
                <w:rFonts w:hint="eastAsia" w:ascii="宋体" w:hAnsi="宋体" w:eastAsia="宋体" w:cs="宋体"/>
                <w:color w:val="000000" w:themeColor="text1"/>
                <w:szCs w:val="21"/>
                <w:highlight w:val="none"/>
                <w14:textFill>
                  <w14:solidFill>
                    <w14:schemeClr w14:val="tx1"/>
                  </w14:solidFill>
                </w14:textFill>
              </w:rPr>
            </w:pPr>
          </w:p>
        </w:tc>
      </w:tr>
    </w:tbl>
    <w:p w14:paraId="6D933EA8">
      <w:pPr>
        <w:keepLines w:val="0"/>
        <w:pageBreakBefore w:val="0"/>
        <w:overflowPunct w:val="0"/>
        <w:topLinePunct w:val="0"/>
        <w:bidi w:val="0"/>
        <w:spacing w:before="120" w:beforeLines="50" w:after="120" w:afterLines="50" w:line="48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法定代表人签字：</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655B65A9">
      <w:pPr>
        <w:keepLines w:val="0"/>
        <w:pageBreakBefore w:val="0"/>
        <w:overflowPunct w:val="0"/>
        <w:topLinePunct w:val="0"/>
        <w:bidi w:val="0"/>
        <w:spacing w:before="120" w:beforeLines="50" w:after="120" w:afterLines="50" w:line="480" w:lineRule="exact"/>
        <w:ind w:firstLine="420" w:firstLineChars="200"/>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授权代表签字：</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B511C9D">
      <w:pPr>
        <w:keepLines w:val="0"/>
        <w:pageBreakBefore w:val="0"/>
        <w:overflowPunct w:val="0"/>
        <w:topLinePunct w:val="0"/>
        <w:bidi w:val="0"/>
        <w:spacing w:before="120" w:beforeLines="50" w:after="120" w:afterLines="50" w:line="48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供应商名称：</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（盖章）</w:t>
      </w:r>
    </w:p>
    <w:p w14:paraId="287CFF83">
      <w:pPr>
        <w:keepLines w:val="0"/>
        <w:pageBreakBefore w:val="0"/>
        <w:overflowPunct w:val="0"/>
        <w:topLinePunct w:val="0"/>
        <w:bidi w:val="0"/>
        <w:spacing w:before="120" w:beforeLines="50" w:after="120" w:afterLines="50" w:line="480" w:lineRule="exact"/>
        <w:ind w:firstLine="420" w:firstLineChars="200"/>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日     期：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2AAF443E">
      <w:pPr>
        <w:keepLines w:val="0"/>
        <w:pageBreakBefore w:val="0"/>
        <w:overflowPunct w:val="0"/>
        <w:topLinePunct w:val="0"/>
        <w:bidi w:val="0"/>
        <w:spacing w:before="120" w:beforeLines="50" w:line="440" w:lineRule="exact"/>
        <w:jc w:val="left"/>
        <w:outlineLvl w:val="0"/>
        <w:rPr>
          <w:rFonts w:hint="eastAsia" w:ascii="宋体" w:hAnsi="宋体" w:eastAsia="宋体" w:cs="宋体"/>
          <w:b/>
          <w:color w:val="000000" w:themeColor="text1"/>
          <w:szCs w:val="21"/>
          <w:highlight w:val="none"/>
          <w:lang w:val="en-US" w:eastAsia="zh-CN"/>
          <w14:textFill>
            <w14:solidFill>
              <w14:schemeClr w14:val="tx1"/>
            </w14:solidFill>
          </w14:textFill>
        </w:rPr>
      </w:pPr>
      <w:bookmarkStart w:id="32" w:name="_Toc3183"/>
      <w:r>
        <w:rPr>
          <w:rFonts w:hint="eastAsia" w:ascii="宋体" w:hAnsi="宋体" w:eastAsia="宋体" w:cs="宋体"/>
          <w:b/>
          <w:color w:val="000000" w:themeColor="text1"/>
          <w:szCs w:val="21"/>
          <w:highlight w:val="none"/>
          <w:lang w:val="en-US" w:eastAsia="zh-CN"/>
          <w14:textFill>
            <w14:solidFill>
              <w14:schemeClr w14:val="tx1"/>
            </w14:solidFill>
          </w14:textFill>
        </w:rPr>
        <w:t>附件2:</w:t>
      </w:r>
      <w:bookmarkEnd w:id="32"/>
    </w:p>
    <w:p w14:paraId="0DB0EAD0">
      <w:pPr>
        <w:pStyle w:val="8"/>
        <w:keepLines w:val="0"/>
        <w:pageBreakBefore w:val="0"/>
        <w:overflowPunct w:val="0"/>
        <w:topLinePunct w:val="0"/>
        <w:bidi w:val="0"/>
        <w:spacing w:after="240" w:afterLines="100"/>
        <w:ind w:firstLine="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谈判声明书</w:t>
      </w:r>
    </w:p>
    <w:p w14:paraId="371C904A">
      <w:pPr>
        <w:pStyle w:val="8"/>
        <w:keepLines w:val="0"/>
        <w:pageBreakBefore w:val="0"/>
        <w:overflowPunct w:val="0"/>
        <w:topLinePunct w:val="0"/>
        <w:bidi w:val="0"/>
        <w:spacing w:after="120" w:afterLines="50" w:line="360" w:lineRule="auto"/>
        <w:ind w:firstLine="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安康华昊智远项目管理有限公司</w:t>
      </w:r>
      <w:r>
        <w:rPr>
          <w:rFonts w:hint="eastAsia" w:ascii="宋体" w:hAnsi="宋体" w:eastAsia="宋体" w:cs="宋体"/>
          <w:b/>
          <w:color w:val="000000" w:themeColor="text1"/>
          <w:sz w:val="24"/>
          <w:szCs w:val="24"/>
          <w:highlight w:val="none"/>
          <w14:textFill>
            <w14:solidFill>
              <w14:schemeClr w14:val="tx1"/>
            </w14:solidFill>
          </w14:textFill>
        </w:rPr>
        <w:t>：</w:t>
      </w:r>
    </w:p>
    <w:p w14:paraId="78FA42CF">
      <w:pPr>
        <w:pStyle w:val="8"/>
        <w:keepLines w:val="0"/>
        <w:pageBreakBefore w:val="0"/>
        <w:overflowPunct w:val="0"/>
        <w:topLinePunct w:val="0"/>
        <w:bidi w:val="0"/>
        <w:spacing w:line="500" w:lineRule="exact"/>
        <w:ind w:firstLine="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我公司</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（供应商名称），就参加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采购项目（采购项目编号</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HHZY-2026-13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谈判事宜，在此郑重声明：</w:t>
      </w:r>
    </w:p>
    <w:p w14:paraId="643DCDE6">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1、我公司所提交的谈判响应文件全部真实有效；</w:t>
      </w:r>
    </w:p>
    <w:p w14:paraId="17432FB8">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2、我公司近3年来无因安全事故、质量事故、违规等不良记录被政府有关部门处罚或仍在处罚期限内的情形存在；</w:t>
      </w:r>
    </w:p>
    <w:p w14:paraId="7D532055">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3、我公司近3年来无违规违法经营受到责令停产(或停止经营)、吊销生产许可证（或经营许可证）、较大数额罚款等行政处罚的情形存在；</w:t>
      </w:r>
    </w:p>
    <w:p w14:paraId="07DC0E68">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4、我公司无企业财产被查封、冻结或处于破产状态或严重亏损状态等情形存在；</w:t>
      </w:r>
    </w:p>
    <w:p w14:paraId="79196284">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5、我公司承诺在谈判过程中，保证不予其他单位围标、串标，不出让谈判资格，不采取不正当手段诋毁、排挤其他供应商，不向采购人、采购代理机构、谈判小组成员行贿；</w:t>
      </w:r>
    </w:p>
    <w:p w14:paraId="5BAE9967">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6、我公司参加政府采购活动近3年内，在经营活动中没有重大违法记录。</w:t>
      </w:r>
    </w:p>
    <w:p w14:paraId="0B0F2054">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以上声明若有违反，一经查实，我公司愿意接受政府有关部门的相应处罚，并愿意承担由此带来的法律后果。</w:t>
      </w:r>
    </w:p>
    <w:p w14:paraId="61D57E6E">
      <w:pPr>
        <w:pStyle w:val="8"/>
        <w:keepLines w:val="0"/>
        <w:pageBreakBefore w:val="0"/>
        <w:overflowPunct w:val="0"/>
        <w:topLinePunct w:val="0"/>
        <w:bidi w:val="0"/>
        <w:spacing w:line="500" w:lineRule="exact"/>
        <w:ind w:firstLine="57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特此声明！</w:t>
      </w:r>
    </w:p>
    <w:p w14:paraId="6076A83C">
      <w:pPr>
        <w:pStyle w:val="8"/>
        <w:keepLines w:val="0"/>
        <w:pageBreakBefore w:val="0"/>
        <w:overflowPunct w:val="0"/>
        <w:topLinePunct w:val="0"/>
        <w:bidi w:val="0"/>
        <w:spacing w:line="500" w:lineRule="exact"/>
        <w:ind w:firstLine="570"/>
        <w:rPr>
          <w:rFonts w:hint="eastAsia" w:ascii="宋体" w:hAnsi="宋体" w:eastAsia="宋体" w:cs="宋体"/>
          <w:color w:val="000000" w:themeColor="text1"/>
          <w:szCs w:val="21"/>
          <w:highlight w:val="none"/>
          <w14:textFill>
            <w14:solidFill>
              <w14:schemeClr w14:val="tx1"/>
            </w14:solidFill>
          </w14:textFill>
        </w:rPr>
      </w:pPr>
    </w:p>
    <w:p w14:paraId="33289585">
      <w:pPr>
        <w:pStyle w:val="8"/>
        <w:keepLines w:val="0"/>
        <w:pageBreakBefore w:val="0"/>
        <w:overflowPunct w:val="0"/>
        <w:topLinePunct w:val="0"/>
        <w:bidi w:val="0"/>
        <w:spacing w:line="500" w:lineRule="exact"/>
        <w:ind w:firstLine="57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声  明  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（供应商名称、公章）</w:t>
      </w:r>
    </w:p>
    <w:p w14:paraId="25DA381F">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（盖章或签字）</w:t>
      </w:r>
    </w:p>
    <w:p w14:paraId="06906AFB">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      期：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093B9751">
      <w:pPr>
        <w:pStyle w:val="8"/>
        <w:keepLines w:val="0"/>
        <w:pageBreakBefore w:val="0"/>
        <w:overflowPunct w:val="0"/>
        <w:topLinePunct w:val="0"/>
        <w:bidi w:val="0"/>
        <w:spacing w:line="500" w:lineRule="exact"/>
        <w:ind w:firstLine="573"/>
        <w:rPr>
          <w:rFonts w:hint="eastAsia" w:ascii="宋体" w:hAnsi="宋体" w:eastAsia="宋体" w:cs="宋体"/>
          <w:color w:val="000000" w:themeColor="text1"/>
          <w:szCs w:val="21"/>
          <w:highlight w:val="none"/>
          <w14:textFill>
            <w14:solidFill>
              <w14:schemeClr w14:val="tx1"/>
            </w14:solidFill>
          </w14:textFill>
        </w:rPr>
      </w:pPr>
    </w:p>
    <w:p w14:paraId="6296B835">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260D507B">
      <w:pPr>
        <w:pStyle w:val="25"/>
        <w:keepLines w:val="0"/>
        <w:pageBreakBefore w:val="0"/>
        <w:overflowPunct w:val="0"/>
        <w:topLinePunct w:val="0"/>
        <w:bidi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p>
    <w:p w14:paraId="402FEA24">
      <w:pPr>
        <w:pStyle w:val="25"/>
        <w:keepLines w:val="0"/>
        <w:pageBreakBefore w:val="0"/>
        <w:overflowPunct w:val="0"/>
        <w:topLinePunct w:val="0"/>
        <w:bidi w:val="0"/>
        <w:spacing w:line="500" w:lineRule="exact"/>
        <w:outlineLvl w:val="0"/>
        <w:rPr>
          <w:rFonts w:hint="eastAsia" w:ascii="宋体" w:hAnsi="宋体" w:eastAsia="宋体" w:cs="宋体"/>
          <w:b/>
          <w:color w:val="000000" w:themeColor="text1"/>
          <w:kern w:val="0"/>
          <w:szCs w:val="21"/>
          <w:highlight w:val="none"/>
          <w14:textFill>
            <w14:solidFill>
              <w14:schemeClr w14:val="tx1"/>
            </w14:solidFill>
          </w14:textFill>
        </w:rPr>
      </w:pPr>
      <w:bookmarkStart w:id="33" w:name="_Toc32661"/>
      <w:r>
        <w:rPr>
          <w:rFonts w:hint="eastAsia" w:ascii="宋体" w:hAnsi="宋体" w:eastAsia="宋体" w:cs="宋体"/>
          <w:color w:val="000000" w:themeColor="text1"/>
          <w:sz w:val="21"/>
          <w:szCs w:val="21"/>
          <w:highlight w:val="none"/>
          <w14:textFill>
            <w14:solidFill>
              <w14:schemeClr w14:val="tx1"/>
            </w14:solidFill>
          </w14:textFill>
        </w:rPr>
        <w:t>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w:t>
      </w:r>
      <w:bookmarkEnd w:id="33"/>
    </w:p>
    <w:p w14:paraId="48149245">
      <w:pPr>
        <w:keepLines w:val="0"/>
        <w:pageBreakBefore w:val="0"/>
        <w:widowControl/>
        <w:overflowPunct w:val="0"/>
        <w:topLinePunct w:val="0"/>
        <w:bidi w:val="0"/>
        <w:jc w:val="center"/>
        <w:rPr>
          <w:rFonts w:hint="eastAsia" w:ascii="宋体" w:hAnsi="宋体" w:eastAsia="宋体" w:cs="宋体"/>
          <w:b/>
          <w:color w:val="000000" w:themeColor="text1"/>
          <w:sz w:val="21"/>
          <w:szCs w:val="21"/>
          <w:highlight w:val="none"/>
          <w14:textFill>
            <w14:solidFill>
              <w14:schemeClr w14:val="tx1"/>
            </w14:solidFill>
          </w14:textFill>
        </w:rPr>
      </w:pPr>
      <w:bookmarkStart w:id="34" w:name="_Toc1373"/>
      <w:r>
        <w:rPr>
          <w:rFonts w:hint="eastAsia" w:ascii="宋体" w:hAnsi="宋体" w:eastAsia="宋体" w:cs="宋体"/>
          <w:b/>
          <w:color w:val="000000" w:themeColor="text1"/>
          <w:sz w:val="21"/>
          <w:szCs w:val="21"/>
          <w:highlight w:val="none"/>
          <w14:textFill>
            <w14:solidFill>
              <w14:schemeClr w14:val="tx1"/>
            </w14:solidFill>
          </w14:textFill>
        </w:rPr>
        <w:t>中小企业声明函</w:t>
      </w:r>
      <w:bookmarkEnd w:id="34"/>
    </w:p>
    <w:p w14:paraId="53B5DB16">
      <w:pPr>
        <w:keepLines w:val="0"/>
        <w:pageBreakBefore w:val="0"/>
        <w:widowControl/>
        <w:overflowPunct w:val="0"/>
        <w:topLinePunct w:val="0"/>
        <w:bidi w:val="0"/>
        <w:jc w:val="left"/>
        <w:rPr>
          <w:rFonts w:hint="eastAsia" w:ascii="宋体" w:hAnsi="宋体" w:eastAsia="宋体" w:cs="宋体"/>
          <w:color w:val="000000" w:themeColor="text1"/>
          <w:sz w:val="21"/>
          <w:szCs w:val="21"/>
          <w:highlight w:val="none"/>
          <w14:textFill>
            <w14:solidFill>
              <w14:schemeClr w14:val="tx1"/>
            </w14:solidFill>
          </w14:textFill>
        </w:rPr>
      </w:pPr>
    </w:p>
    <w:p w14:paraId="3FFACC5D">
      <w:pPr>
        <w:widowControl/>
        <w:spacing w:line="480" w:lineRule="exact"/>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（注：各供应商按照自身情况，如实填写。）</w:t>
      </w:r>
    </w:p>
    <w:p w14:paraId="7FE03082">
      <w:pPr>
        <w:spacing w:before="75" w:line="370" w:lineRule="auto"/>
        <w:ind w:right="20" w:firstLine="420" w:firstLineChars="200"/>
        <w:rPr>
          <w:rFonts w:hint="eastAsia" w:ascii="宋体" w:hAnsi="宋体" w:eastAsia="宋体" w:cs="宋体"/>
          <w:color w:val="000000" w:themeColor="text1"/>
          <w:spacing w:val="9"/>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本公司 (联合体)郑重声明，根据《政府采购促进中小企业发展管理办法》(财库﹝2020﹞46号)的规定，本公司(联合体)参加</w:t>
      </w:r>
      <w:r>
        <w:rPr>
          <w:rFonts w:hint="eastAsia" w:ascii="宋体" w:hAnsi="宋体" w:eastAsia="宋体" w:cs="宋体"/>
          <w:b w:val="0"/>
          <w:bCs w:val="0"/>
          <w:color w:val="000000" w:themeColor="text1"/>
          <w:sz w:val="21"/>
          <w:szCs w:val="21"/>
          <w:highlight w:val="none"/>
          <w:u w:val="single"/>
          <w14:textFill>
            <w14:solidFill>
              <w14:schemeClr w14:val="tx1"/>
            </w14:solidFill>
          </w14:textFill>
        </w:rPr>
        <w:t xml:space="preserve"> (单位名称)</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 的 </w:t>
      </w:r>
      <w:r>
        <w:rPr>
          <w:rFonts w:hint="eastAsia" w:ascii="宋体" w:hAnsi="宋体" w:eastAsia="宋体" w:cs="宋体"/>
          <w:b w:val="0"/>
          <w:bCs w:val="0"/>
          <w:color w:val="000000" w:themeColor="text1"/>
          <w:sz w:val="21"/>
          <w:szCs w:val="21"/>
          <w:highlight w:val="none"/>
          <w:u w:val="single"/>
          <w14:textFill>
            <w14:solidFill>
              <w14:schemeClr w14:val="tx1"/>
            </w14:solidFill>
          </w14:textFill>
        </w:rPr>
        <w:t>(项目名称)</w:t>
      </w:r>
      <w:r>
        <w:rPr>
          <w:rFonts w:hint="eastAsia" w:ascii="宋体" w:hAnsi="宋体" w:eastAsia="宋体" w:cs="宋体"/>
          <w:b w:val="0"/>
          <w:bCs w:val="0"/>
          <w:color w:val="000000" w:themeColor="text1"/>
          <w:sz w:val="21"/>
          <w:szCs w:val="21"/>
          <w:highlight w:val="none"/>
          <w14:textFill>
            <w14:solidFill>
              <w14:schemeClr w14:val="tx1"/>
            </w14:solidFill>
          </w14:textFill>
        </w:rPr>
        <w:t>采购活动 ，提供的货物全部由符合政策要求的中小企业制造。相关企业(含联合体中的中小企业、签订分包意向协议的中小企业)的具体情况如</w:t>
      </w:r>
      <w:r>
        <w:rPr>
          <w:rFonts w:hint="eastAsia" w:ascii="宋体" w:hAnsi="宋体" w:eastAsia="宋体" w:cs="宋体"/>
          <w:color w:val="000000" w:themeColor="text1"/>
          <w:spacing w:val="12"/>
          <w:sz w:val="21"/>
          <w:szCs w:val="21"/>
          <w:highlight w:val="none"/>
          <w14:textFill>
            <w14:solidFill>
              <w14:schemeClr w14:val="tx1"/>
            </w14:solidFill>
          </w14:textFill>
        </w:rPr>
        <w:t>下：</w:t>
      </w:r>
    </w:p>
    <w:p w14:paraId="2438FD1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56" w:firstLineChars="200"/>
        <w:textAlignment w:val="baseline"/>
        <w:rPr>
          <w:rFonts w:hint="eastAsia" w:ascii="宋体" w:hAnsi="宋体" w:eastAsia="宋体" w:cs="宋体"/>
          <w:color w:val="000000" w:themeColor="text1"/>
          <w:spacing w:val="9"/>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1.</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(标的名称) </w:t>
      </w:r>
      <w:r>
        <w:rPr>
          <w:rFonts w:hint="eastAsia" w:ascii="宋体" w:hAnsi="宋体" w:eastAsia="宋体" w:cs="宋体"/>
          <w:color w:val="000000" w:themeColor="text1"/>
          <w:spacing w:val="9"/>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9"/>
          <w:sz w:val="21"/>
          <w:szCs w:val="21"/>
          <w:highlight w:val="none"/>
          <w14:textFill>
            <w14:solidFill>
              <w14:schemeClr w14:val="tx1"/>
            </w14:solidFill>
          </w14:textFill>
        </w:rPr>
        <w:t>属于</w:t>
      </w:r>
      <w:r>
        <w:rPr>
          <w:rFonts w:hint="eastAsia" w:ascii="宋体" w:hAnsi="宋体" w:eastAsia="宋体" w:cs="宋体"/>
          <w:color w:val="000000" w:themeColor="text1"/>
          <w:spacing w:val="9"/>
          <w:sz w:val="21"/>
          <w:szCs w:val="21"/>
          <w:highlight w:val="none"/>
          <w:u w:val="single"/>
          <w14:textFill>
            <w14:solidFill>
              <w14:schemeClr w14:val="tx1"/>
            </w14:solidFill>
          </w14:textFill>
        </w:rPr>
        <w:t>(采购文件中明确的所属行业)</w:t>
      </w:r>
      <w:r>
        <w:rPr>
          <w:rFonts w:hint="eastAsia" w:ascii="宋体" w:hAnsi="宋体" w:eastAsia="宋体" w:cs="宋体"/>
          <w:color w:val="000000" w:themeColor="text1"/>
          <w:spacing w:val="9"/>
          <w:sz w:val="21"/>
          <w:szCs w:val="21"/>
          <w:highlight w:val="none"/>
          <w14:textFill>
            <w14:solidFill>
              <w14:schemeClr w14:val="tx1"/>
            </w14:solidFill>
          </w14:textFill>
        </w:rPr>
        <w:t>行业</w:t>
      </w:r>
      <w:r>
        <w:rPr>
          <w:rFonts w:hint="eastAsia" w:ascii="宋体" w:hAnsi="宋体" w:eastAsia="宋体" w:cs="宋体"/>
          <w:color w:val="000000" w:themeColor="text1"/>
          <w:spacing w:val="9"/>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9"/>
          <w:sz w:val="21"/>
          <w:szCs w:val="21"/>
          <w:highlight w:val="none"/>
          <w14:textFill>
            <w14:solidFill>
              <w14:schemeClr w14:val="tx1"/>
            </w14:solidFill>
          </w14:textFill>
        </w:rPr>
        <w:t>制造商为</w:t>
      </w:r>
      <w:r>
        <w:rPr>
          <w:rFonts w:hint="eastAsia" w:ascii="宋体" w:hAnsi="宋体" w:eastAsia="宋体" w:cs="宋体"/>
          <w:color w:val="000000" w:themeColor="text1"/>
          <w:spacing w:val="9"/>
          <w:sz w:val="21"/>
          <w:szCs w:val="21"/>
          <w:highlight w:val="none"/>
          <w:u w:val="single"/>
          <w14:textFill>
            <w14:solidFill>
              <w14:schemeClr w14:val="tx1"/>
            </w14:solidFill>
          </w14:textFill>
        </w:rPr>
        <w:t>(企业名称)</w:t>
      </w:r>
      <w:r>
        <w:rPr>
          <w:rFonts w:hint="eastAsia" w:ascii="宋体" w:hAnsi="宋体" w:eastAsia="宋体" w:cs="宋体"/>
          <w:color w:val="000000" w:themeColor="text1"/>
          <w:spacing w:val="9"/>
          <w:sz w:val="21"/>
          <w:szCs w:val="21"/>
          <w:highlight w:val="none"/>
          <w14:textFill>
            <w14:solidFill>
              <w14:schemeClr w14:val="tx1"/>
            </w14:solidFill>
          </w14:textFill>
        </w:rPr>
        <w:t>,从业人员</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人，营业收入为</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万元</w:t>
      </w:r>
      <w:r>
        <w:rPr>
          <w:rFonts w:hint="eastAsia" w:ascii="宋体" w:hAnsi="宋体" w:eastAsia="宋体" w:cs="宋体"/>
          <w:color w:val="000000" w:themeColor="text1"/>
          <w:spacing w:val="9"/>
          <w:sz w:val="21"/>
          <w:szCs w:val="21"/>
          <w:highlight w:val="none"/>
          <w:vertAlign w:val="superscript"/>
          <w:lang w:val="en-US" w:eastAsia="zh-CN"/>
          <w14:textFill>
            <w14:solidFill>
              <w14:schemeClr w14:val="tx1"/>
            </w14:solidFill>
          </w14:textFill>
        </w:rPr>
        <w:t>1</w:t>
      </w:r>
      <w:r>
        <w:rPr>
          <w:rFonts w:hint="eastAsia" w:ascii="宋体" w:hAnsi="宋体" w:eastAsia="宋体" w:cs="宋体"/>
          <w:color w:val="000000" w:themeColor="text1"/>
          <w:spacing w:val="9"/>
          <w:sz w:val="21"/>
          <w:szCs w:val="21"/>
          <w:highlight w:val="none"/>
          <w14:textFill>
            <w14:solidFill>
              <w14:schemeClr w14:val="tx1"/>
            </w14:solidFill>
          </w14:textFill>
        </w:rPr>
        <w:t>，资产总额为</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万元，属于 (</w:t>
      </w: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中型企业、</w:t>
      </w:r>
      <w:r>
        <w:rPr>
          <w:rFonts w:hint="eastAsia" w:ascii="宋体" w:hAnsi="宋体" w:eastAsia="宋体" w:cs="宋体"/>
          <w:color w:val="000000" w:themeColor="text1"/>
          <w:spacing w:val="9"/>
          <w:sz w:val="21"/>
          <w:szCs w:val="21"/>
          <w:highlight w:val="none"/>
          <w14:textFill>
            <w14:solidFill>
              <w14:schemeClr w14:val="tx1"/>
            </w14:solidFill>
          </w14:textFill>
        </w:rPr>
        <w:t>小型企业、微型企业) ；</w:t>
      </w:r>
    </w:p>
    <w:p w14:paraId="620DB801">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56" w:firstLineChars="200"/>
        <w:textAlignment w:val="baseline"/>
        <w:rPr>
          <w:rFonts w:hint="eastAsia" w:ascii="宋体" w:hAnsi="宋体" w:eastAsia="宋体" w:cs="宋体"/>
          <w:color w:val="000000" w:themeColor="text1"/>
          <w:spacing w:val="9"/>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2.</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(标的名称)</w:t>
      </w:r>
      <w:r>
        <w:rPr>
          <w:rFonts w:hint="eastAsia" w:ascii="宋体" w:hAnsi="宋体" w:eastAsia="宋体" w:cs="宋体"/>
          <w:color w:val="000000" w:themeColor="text1"/>
          <w:spacing w:val="9"/>
          <w:sz w:val="21"/>
          <w:szCs w:val="21"/>
          <w:highlight w:val="none"/>
          <w14:textFill>
            <w14:solidFill>
              <w14:schemeClr w14:val="tx1"/>
            </w14:solidFill>
          </w14:textFill>
        </w:rPr>
        <w:t>,属于</w:t>
      </w:r>
      <w:r>
        <w:rPr>
          <w:rFonts w:hint="eastAsia" w:ascii="宋体" w:hAnsi="宋体" w:eastAsia="宋体" w:cs="宋体"/>
          <w:color w:val="000000" w:themeColor="text1"/>
          <w:spacing w:val="9"/>
          <w:sz w:val="21"/>
          <w:szCs w:val="21"/>
          <w:highlight w:val="none"/>
          <w:u w:val="single"/>
          <w14:textFill>
            <w14:solidFill>
              <w14:schemeClr w14:val="tx1"/>
            </w14:solidFill>
          </w14:textFill>
        </w:rPr>
        <w:t>(采购文件中明确的所属行业)</w:t>
      </w:r>
      <w:r>
        <w:rPr>
          <w:rFonts w:hint="eastAsia" w:ascii="宋体" w:hAnsi="宋体" w:eastAsia="宋体" w:cs="宋体"/>
          <w:color w:val="000000" w:themeColor="text1"/>
          <w:spacing w:val="9"/>
          <w:sz w:val="21"/>
          <w:szCs w:val="21"/>
          <w:highlight w:val="none"/>
          <w14:textFill>
            <w14:solidFill>
              <w14:schemeClr w14:val="tx1"/>
            </w14:solidFill>
          </w14:textFill>
        </w:rPr>
        <w:t>行业；制造商为</w:t>
      </w:r>
      <w:r>
        <w:rPr>
          <w:rFonts w:hint="eastAsia" w:ascii="宋体" w:hAnsi="宋体" w:eastAsia="宋体" w:cs="宋体"/>
          <w:color w:val="000000" w:themeColor="text1"/>
          <w:spacing w:val="9"/>
          <w:sz w:val="21"/>
          <w:szCs w:val="21"/>
          <w:highlight w:val="none"/>
          <w:u w:val="single"/>
          <w14:textFill>
            <w14:solidFill>
              <w14:schemeClr w14:val="tx1"/>
            </w14:solidFill>
          </w14:textFill>
        </w:rPr>
        <w:t>(企业名称)</w:t>
      </w:r>
      <w:r>
        <w:rPr>
          <w:rFonts w:hint="eastAsia" w:ascii="宋体" w:hAnsi="宋体" w:eastAsia="宋体" w:cs="宋体"/>
          <w:color w:val="000000" w:themeColor="text1"/>
          <w:spacing w:val="9"/>
          <w:sz w:val="21"/>
          <w:szCs w:val="21"/>
          <w:highlight w:val="none"/>
          <w14:textFill>
            <w14:solidFill>
              <w14:schemeClr w14:val="tx1"/>
            </w14:solidFill>
          </w14:textFill>
        </w:rPr>
        <w:t>,从业人员</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人，营业收入为</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万元，资产总额为</w:t>
      </w:r>
      <w:r>
        <w:rPr>
          <w:rFonts w:hint="eastAsia" w:ascii="宋体" w:hAnsi="宋体" w:eastAsia="宋体" w:cs="宋体"/>
          <w:color w:val="000000" w:themeColor="text1"/>
          <w:spacing w:val="9"/>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pacing w:val="9"/>
          <w:sz w:val="21"/>
          <w:szCs w:val="21"/>
          <w:highlight w:val="none"/>
          <w14:textFill>
            <w14:solidFill>
              <w14:schemeClr w14:val="tx1"/>
            </w14:solidFill>
          </w14:textFill>
        </w:rPr>
        <w:t>万元，属于(</w:t>
      </w: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中型企业、</w:t>
      </w:r>
      <w:r>
        <w:rPr>
          <w:rFonts w:hint="eastAsia" w:ascii="宋体" w:hAnsi="宋体" w:eastAsia="宋体" w:cs="宋体"/>
          <w:color w:val="000000" w:themeColor="text1"/>
          <w:spacing w:val="9"/>
          <w:sz w:val="21"/>
          <w:szCs w:val="21"/>
          <w:highlight w:val="none"/>
          <w14:textFill>
            <w14:solidFill>
              <w14:schemeClr w14:val="tx1"/>
            </w14:solidFill>
          </w14:textFill>
        </w:rPr>
        <w:t>小型企业、微型企业)；</w:t>
      </w:r>
    </w:p>
    <w:p w14:paraId="5647A8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56" w:firstLineChars="200"/>
        <w:textAlignment w:val="baseline"/>
        <w:rPr>
          <w:rFonts w:hint="eastAsia" w:ascii="宋体" w:hAnsi="宋体" w:eastAsia="宋体" w:cs="宋体"/>
          <w:color w:val="000000" w:themeColor="text1"/>
          <w:spacing w:val="9"/>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14500382">
      <w:pPr>
        <w:spacing w:before="205" w:line="219" w:lineRule="auto"/>
        <w:ind w:firstLine="456"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本企业对上述声明内容的真实性负责。如有虚假，将依法承担相</w:t>
      </w:r>
      <w:r>
        <w:rPr>
          <w:rFonts w:hint="eastAsia" w:ascii="宋体" w:hAnsi="宋体" w:eastAsia="宋体" w:cs="宋体"/>
          <w:color w:val="000000" w:themeColor="text1"/>
          <w:spacing w:val="8"/>
          <w:sz w:val="21"/>
          <w:szCs w:val="21"/>
          <w:highlight w:val="none"/>
          <w14:textFill>
            <w14:solidFill>
              <w14:schemeClr w14:val="tx1"/>
            </w14:solidFill>
          </w14:textFill>
        </w:rPr>
        <w:t>应责任。</w:t>
      </w:r>
    </w:p>
    <w:p w14:paraId="0F3CB771">
      <w:pPr>
        <w:pStyle w:val="10"/>
        <w:spacing w:line="284" w:lineRule="auto"/>
        <w:rPr>
          <w:rFonts w:hint="eastAsia" w:ascii="宋体" w:hAnsi="宋体" w:eastAsia="宋体" w:cs="宋体"/>
          <w:color w:val="000000" w:themeColor="text1"/>
          <w:sz w:val="21"/>
          <w:szCs w:val="21"/>
          <w:highlight w:val="none"/>
          <w14:textFill>
            <w14:solidFill>
              <w14:schemeClr w14:val="tx1"/>
            </w14:solidFill>
          </w14:textFill>
        </w:rPr>
      </w:pPr>
    </w:p>
    <w:p w14:paraId="1FCCE8F8">
      <w:pPr>
        <w:pStyle w:val="10"/>
        <w:spacing w:line="284" w:lineRule="auto"/>
        <w:rPr>
          <w:rFonts w:hint="eastAsia" w:ascii="宋体" w:hAnsi="宋体" w:eastAsia="宋体" w:cs="宋体"/>
          <w:color w:val="000000" w:themeColor="text1"/>
          <w:sz w:val="21"/>
          <w:szCs w:val="21"/>
          <w:highlight w:val="none"/>
          <w14:textFill>
            <w14:solidFill>
              <w14:schemeClr w14:val="tx1"/>
            </w14:solidFill>
          </w14:textFill>
        </w:rPr>
      </w:pPr>
    </w:p>
    <w:p w14:paraId="5E379BC8">
      <w:pPr>
        <w:spacing w:before="76" w:line="508" w:lineRule="auto"/>
        <w:ind w:left="417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3"/>
          <w:sz w:val="21"/>
          <w:szCs w:val="21"/>
          <w:highlight w:val="none"/>
          <w14:textFill>
            <w14:solidFill>
              <w14:schemeClr w14:val="tx1"/>
            </w14:solidFill>
          </w14:textFill>
        </w:rPr>
        <w:t>企业名称：</w:t>
      </w:r>
      <w:r>
        <w:rPr>
          <w:rFonts w:hint="eastAsia" w:ascii="宋体" w:hAnsi="宋体" w:eastAsia="宋体" w:cs="宋体"/>
          <w:color w:val="000000" w:themeColor="text1"/>
          <w:spacing w:val="59"/>
          <w:sz w:val="21"/>
          <w:szCs w:val="21"/>
          <w:highlight w:val="none"/>
          <w14:textFill>
            <w14:solidFill>
              <w14:schemeClr w14:val="tx1"/>
            </w14:solidFill>
          </w14:textFill>
        </w:rPr>
        <w:t xml:space="preserve"> </w:t>
      </w:r>
      <w:r>
        <w:rPr>
          <w:rFonts w:hint="eastAsia" w:ascii="宋体" w:hAnsi="宋体" w:eastAsia="宋体" w:cs="宋体"/>
          <w:color w:val="000000" w:themeColor="text1"/>
          <w:spacing w:val="-3"/>
          <w:sz w:val="21"/>
          <w:szCs w:val="21"/>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3"/>
          <w:sz w:val="21"/>
          <w:szCs w:val="21"/>
          <w:highlight w:val="none"/>
          <w14:textFill>
            <w14:solidFill>
              <w14:schemeClr w14:val="tx1"/>
            </w14:solidFill>
          </w14:textFill>
        </w:rPr>
        <w:t xml:space="preserve"> (加盖单位公章)</w:t>
      </w:r>
    </w:p>
    <w:p w14:paraId="7D2AA693">
      <w:pPr>
        <w:spacing w:before="1" w:line="223" w:lineRule="auto"/>
        <w:ind w:left="413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14:textFill>
            <w14:solidFill>
              <w14:schemeClr w14:val="tx1"/>
            </w14:solidFill>
          </w14:textFill>
        </w:rPr>
        <w:t>日期</w:t>
      </w:r>
      <w:r>
        <w:rPr>
          <w:rFonts w:hint="eastAsia" w:ascii="宋体" w:hAnsi="宋体" w:eastAsia="宋体" w:cs="宋体"/>
          <w:color w:val="000000" w:themeColor="text1"/>
          <w:spacing w:val="-36"/>
          <w:sz w:val="21"/>
          <w:szCs w:val="21"/>
          <w:highlight w:val="none"/>
          <w14:textFill>
            <w14:solidFill>
              <w14:schemeClr w14:val="tx1"/>
            </w14:solidFill>
          </w14:textFill>
        </w:rPr>
        <w:t>：</w:t>
      </w:r>
      <w:r>
        <w:rPr>
          <w:rFonts w:hint="eastAsia" w:ascii="宋体" w:hAnsi="宋体" w:eastAsia="宋体" w:cs="宋体"/>
          <w:color w:val="000000" w:themeColor="text1"/>
          <w:spacing w:val="-29"/>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color="auto"/>
          <w14:textFill>
            <w14:solidFill>
              <w14:schemeClr w14:val="tx1"/>
            </w14:solidFill>
          </w14:textFill>
        </w:rPr>
        <w:t xml:space="preserve">                                   </w:t>
      </w:r>
    </w:p>
    <w:p w14:paraId="36CF31F5">
      <w:pPr>
        <w:spacing w:before="69"/>
        <w:ind w:firstLine="410" w:firstLineChars="200"/>
        <w:jc w:val="left"/>
        <w:rPr>
          <w:rFonts w:hint="eastAsia" w:ascii="宋体" w:hAnsi="宋体" w:eastAsia="宋体" w:cs="宋体"/>
          <w:b/>
          <w:color w:val="000000" w:themeColor="text1"/>
          <w:spacing w:val="-3"/>
          <w:szCs w:val="21"/>
          <w:highlight w:val="none"/>
          <w14:textFill>
            <w14:solidFill>
              <w14:schemeClr w14:val="tx1"/>
            </w14:solidFill>
          </w14:textFill>
        </w:rPr>
      </w:pPr>
    </w:p>
    <w:p w14:paraId="776964B5">
      <w:pPr>
        <w:spacing w:before="0" w:line="360" w:lineRule="auto"/>
        <w:ind w:firstLine="410" w:firstLineChars="200"/>
        <w:jc w:val="left"/>
        <w:rPr>
          <w:rFonts w:hint="eastAsia" w:ascii="宋体" w:hAnsi="宋体" w:cs="宋体"/>
          <w:b/>
          <w:color w:val="000000" w:themeColor="text1"/>
          <w:spacing w:val="-3"/>
          <w:szCs w:val="21"/>
          <w:highlight w:val="none"/>
          <w14:textFill>
            <w14:solidFill>
              <w14:schemeClr w14:val="tx1"/>
            </w14:solidFill>
          </w14:textFill>
        </w:rPr>
      </w:pPr>
    </w:p>
    <w:p w14:paraId="406A818C">
      <w:pPr>
        <w:spacing w:before="0" w:line="360" w:lineRule="auto"/>
        <w:ind w:firstLine="410" w:firstLineChars="200"/>
        <w:jc w:val="left"/>
        <w:rPr>
          <w:rFonts w:hint="eastAsia" w:ascii="宋体" w:hAnsi="宋体" w:cs="宋体"/>
          <w:b/>
          <w:color w:val="000000" w:themeColor="text1"/>
          <w:spacing w:val="-3"/>
          <w:szCs w:val="21"/>
          <w:highlight w:val="none"/>
          <w14:textFill>
            <w14:solidFill>
              <w14:schemeClr w14:val="tx1"/>
            </w14:solidFill>
          </w14:textFill>
        </w:rPr>
      </w:pPr>
    </w:p>
    <w:p w14:paraId="7EF49F0A">
      <w:pPr>
        <w:spacing w:before="0" w:line="360" w:lineRule="auto"/>
        <w:ind w:firstLine="410" w:firstLineChars="200"/>
        <w:jc w:val="left"/>
        <w:rPr>
          <w:rFonts w:hint="eastAsia" w:ascii="宋体" w:hAnsi="宋体" w:eastAsia="宋体" w:cs="宋体"/>
          <w:b/>
          <w:color w:val="000000" w:themeColor="text1"/>
          <w:spacing w:val="-3"/>
          <w:szCs w:val="21"/>
          <w:highlight w:val="none"/>
          <w14:textFill>
            <w14:solidFill>
              <w14:schemeClr w14:val="tx1"/>
            </w14:solidFill>
          </w14:textFill>
        </w:rPr>
      </w:pPr>
      <w:r>
        <w:rPr>
          <w:rFonts w:hint="eastAsia" w:ascii="宋体" w:hAnsi="宋体" w:cs="宋体"/>
          <w:b/>
          <w:color w:val="000000" w:themeColor="text1"/>
          <w:spacing w:val="-3"/>
          <w:szCs w:val="21"/>
          <w:highlight w:val="none"/>
          <w14:textFill>
            <w14:solidFill>
              <w14:schemeClr w14:val="tx1"/>
            </w14:solidFill>
          </w14:textFill>
        </w:rPr>
        <w:t>注：</w:t>
      </w:r>
      <w:r>
        <w:rPr>
          <w:rFonts w:hint="eastAsia" w:ascii="宋体" w:hAnsi="宋体" w:eastAsia="宋体" w:cs="宋体"/>
          <w:b/>
          <w:color w:val="000000" w:themeColor="text1"/>
          <w:spacing w:val="-3"/>
          <w:szCs w:val="21"/>
          <w:highlight w:val="none"/>
          <w14:textFill>
            <w14:solidFill>
              <w14:schemeClr w14:val="tx1"/>
            </w14:solidFill>
          </w14:textFill>
        </w:rPr>
        <w:t>1.从业人员、营业收入、资产总额填报上一年度数据，无上一年度数据的新成立企业可不填报。</w:t>
      </w:r>
    </w:p>
    <w:p w14:paraId="0D3D9554">
      <w:pPr>
        <w:spacing w:before="0" w:line="360" w:lineRule="auto"/>
        <w:ind w:firstLine="410" w:firstLineChars="200"/>
        <w:jc w:val="left"/>
        <w:rPr>
          <w:rFonts w:hint="eastAsia" w:ascii="宋体" w:hAnsi="宋体" w:eastAsia="宋体" w:cs="宋体"/>
          <w:b/>
          <w:color w:val="000000" w:themeColor="text1"/>
          <w:spacing w:val="-3"/>
          <w:szCs w:val="21"/>
          <w:highlight w:val="none"/>
          <w:lang w:eastAsia="zh-CN"/>
          <w14:textFill>
            <w14:solidFill>
              <w14:schemeClr w14:val="tx1"/>
            </w14:solidFill>
          </w14:textFill>
        </w:rPr>
      </w:pPr>
      <w:r>
        <w:rPr>
          <w:rFonts w:hint="eastAsia" w:ascii="宋体" w:hAnsi="宋体" w:cs="宋体"/>
          <w:b/>
          <w:color w:val="000000" w:themeColor="text1"/>
          <w:spacing w:val="-3"/>
          <w:szCs w:val="21"/>
          <w:highlight w:val="none"/>
          <w14:textFill>
            <w14:solidFill>
              <w14:schemeClr w14:val="tx1"/>
            </w14:solidFill>
          </w14:textFill>
        </w:rPr>
        <w:t>2.</w:t>
      </w:r>
      <w:r>
        <w:rPr>
          <w:rFonts w:hint="eastAsia" w:ascii="宋体" w:hAnsi="宋体" w:eastAsia="宋体" w:cs="宋体"/>
          <w:b/>
          <w:color w:val="000000" w:themeColor="text1"/>
          <w:spacing w:val="-3"/>
          <w:szCs w:val="21"/>
          <w:highlight w:val="none"/>
          <w14:textFill>
            <w14:solidFill>
              <w14:schemeClr w14:val="tx1"/>
            </w14:solidFill>
          </w14:textFill>
        </w:rPr>
        <w:t>中小企业参加政府采购活动，应当按照《政府采购促进中小企业发展管理办法》（财库〔2020〕46号）规定和《中小企业划型标准规定》（工信部联企业〔2011〕300号），如实填写并提交本《中小企业声明函》</w:t>
      </w:r>
      <w:r>
        <w:rPr>
          <w:rFonts w:hint="eastAsia" w:ascii="宋体" w:hAnsi="宋体" w:eastAsia="宋体" w:cs="宋体"/>
          <w:b/>
          <w:color w:val="000000" w:themeColor="text1"/>
          <w:spacing w:val="-3"/>
          <w:szCs w:val="21"/>
          <w:highlight w:val="none"/>
          <w:lang w:eastAsia="zh-CN"/>
          <w14:textFill>
            <w14:solidFill>
              <w14:schemeClr w14:val="tx1"/>
            </w14:solidFill>
          </w14:textFill>
        </w:rPr>
        <w:t>。</w:t>
      </w:r>
    </w:p>
    <w:p w14:paraId="60B1F28F">
      <w:pPr>
        <w:keepLines w:val="0"/>
        <w:pageBreakBefore w:val="0"/>
        <w:overflowPunct w:val="0"/>
        <w:topLinePunct w:val="0"/>
        <w:bidi w:val="0"/>
        <w:spacing w:line="500" w:lineRule="exact"/>
        <w:rPr>
          <w:rFonts w:hint="eastAsia" w:ascii="宋体" w:hAnsi="宋体" w:eastAsia="宋体" w:cs="宋体"/>
          <w:bCs/>
          <w:color w:val="000000" w:themeColor="text1"/>
          <w:sz w:val="21"/>
          <w:szCs w:val="21"/>
          <w:highlight w:val="none"/>
          <w14:textFill>
            <w14:solidFill>
              <w14:schemeClr w14:val="tx1"/>
            </w14:solidFill>
          </w14:textFill>
        </w:rPr>
      </w:pPr>
    </w:p>
    <w:p w14:paraId="572614BE">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br w:type="page"/>
      </w:r>
    </w:p>
    <w:p w14:paraId="577CC1CC">
      <w:pPr>
        <w:keepLines w:val="0"/>
        <w:pageBreakBefore w:val="0"/>
        <w:widowControl/>
        <w:overflowPunct w:val="0"/>
        <w:topLinePunct w:val="0"/>
        <w:bidi w:val="0"/>
        <w:jc w:val="both"/>
        <w:outlineLvl w:val="0"/>
        <w:rPr>
          <w:rFonts w:hint="eastAsia" w:ascii="宋体" w:hAnsi="宋体" w:eastAsia="宋体" w:cs="宋体"/>
          <w:b/>
          <w:color w:val="000000" w:themeColor="text1"/>
          <w:sz w:val="21"/>
          <w:szCs w:val="21"/>
          <w:highlight w:val="none"/>
          <w14:textFill>
            <w14:solidFill>
              <w14:schemeClr w14:val="tx1"/>
            </w14:solidFill>
          </w14:textFill>
        </w:rPr>
      </w:pPr>
      <w:bookmarkStart w:id="35" w:name="_Toc27377"/>
      <w:r>
        <w:rPr>
          <w:rFonts w:hint="eastAsia" w:ascii="宋体" w:hAnsi="宋体" w:eastAsia="宋体" w:cs="宋体"/>
          <w:b/>
          <w:color w:val="000000" w:themeColor="text1"/>
          <w:sz w:val="21"/>
          <w:szCs w:val="21"/>
          <w:highlight w:val="none"/>
          <w14:textFill>
            <w14:solidFill>
              <w14:schemeClr w14:val="tx1"/>
            </w14:solidFill>
          </w14:textFill>
        </w:rPr>
        <w:t>附件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w:t>
      </w:r>
      <w:bookmarkEnd w:id="35"/>
    </w:p>
    <w:p w14:paraId="4FEA18BC">
      <w:pPr>
        <w:keepLines w:val="0"/>
        <w:pageBreakBefore w:val="0"/>
        <w:widowControl/>
        <w:overflowPunct w:val="0"/>
        <w:topLinePunct w:val="0"/>
        <w:bidi w:val="0"/>
        <w:jc w:val="both"/>
        <w:rPr>
          <w:rFonts w:hint="eastAsia" w:ascii="宋体" w:hAnsi="宋体" w:eastAsia="宋体" w:cs="宋体"/>
          <w:b/>
          <w:color w:val="000000" w:themeColor="text1"/>
          <w:sz w:val="21"/>
          <w:szCs w:val="21"/>
          <w:highlight w:val="none"/>
          <w14:textFill>
            <w14:solidFill>
              <w14:schemeClr w14:val="tx1"/>
            </w14:solidFill>
          </w14:textFill>
        </w:rPr>
      </w:pPr>
    </w:p>
    <w:p w14:paraId="07107417">
      <w:pPr>
        <w:keepLines w:val="0"/>
        <w:pageBreakBefore w:val="0"/>
        <w:widowControl/>
        <w:overflowPunct w:val="0"/>
        <w:topLinePunct w:val="0"/>
        <w:bidi w:val="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残疾人福利性单位声明函（如有）</w:t>
      </w:r>
    </w:p>
    <w:p w14:paraId="035D1263">
      <w:pPr>
        <w:keepLines w:val="0"/>
        <w:pageBreakBefore w:val="0"/>
        <w:overflowPunct w:val="0"/>
        <w:topLinePunct w:val="0"/>
        <w:bidi w:val="0"/>
        <w:spacing w:line="588" w:lineRule="exact"/>
        <w:rPr>
          <w:rFonts w:hint="eastAsia" w:ascii="宋体" w:hAnsi="宋体" w:eastAsia="宋体" w:cs="宋体"/>
          <w:b/>
          <w:color w:val="000000" w:themeColor="text1"/>
          <w:spacing w:val="6"/>
          <w:sz w:val="21"/>
          <w:szCs w:val="21"/>
          <w:highlight w:val="none"/>
          <w14:textFill>
            <w14:solidFill>
              <w14:schemeClr w14:val="tx1"/>
            </w14:solidFill>
          </w14:textFill>
        </w:rPr>
      </w:pPr>
    </w:p>
    <w:p w14:paraId="4A82B9A2">
      <w:pPr>
        <w:keepLines w:val="0"/>
        <w:pageBreakBefore w:val="0"/>
        <w:overflowPunct w:val="0"/>
        <w:topLinePunct w:val="0"/>
        <w:bidi w:val="0"/>
        <w:adjustRightInd w:val="0"/>
        <w:snapToGrid w:val="0"/>
        <w:spacing w:line="5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9D9EE8">
      <w:pPr>
        <w:keepLines w:val="0"/>
        <w:pageBreakBefore w:val="0"/>
        <w:overflowPunct w:val="0"/>
        <w:topLinePunct w:val="0"/>
        <w:bidi w:val="0"/>
        <w:adjustRightInd w:val="0"/>
        <w:snapToGrid w:val="0"/>
        <w:spacing w:line="5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本单位对上述声明的真实性负责。如有虚假，将依法承担相应责任。</w:t>
      </w:r>
    </w:p>
    <w:p w14:paraId="0719F8C7">
      <w:pPr>
        <w:keepLines w:val="0"/>
        <w:pageBreakBefore w:val="0"/>
        <w:overflowPunct w:val="0"/>
        <w:topLinePunct w:val="0"/>
        <w:bidi w:val="0"/>
        <w:spacing w:line="588" w:lineRule="exact"/>
        <w:ind w:firstLine="444" w:firstLineChars="200"/>
        <w:rPr>
          <w:rFonts w:hint="eastAsia" w:ascii="宋体" w:hAnsi="宋体" w:eastAsia="宋体" w:cs="宋体"/>
          <w:color w:val="000000" w:themeColor="text1"/>
          <w:spacing w:val="6"/>
          <w:sz w:val="21"/>
          <w:szCs w:val="21"/>
          <w:highlight w:val="none"/>
          <w14:textFill>
            <w14:solidFill>
              <w14:schemeClr w14:val="tx1"/>
            </w14:solidFill>
          </w14:textFill>
        </w:rPr>
      </w:pPr>
    </w:p>
    <w:p w14:paraId="35A4E3F9">
      <w:pPr>
        <w:keepLines w:val="0"/>
        <w:pageBreakBefore w:val="0"/>
        <w:overflowPunct w:val="0"/>
        <w:topLinePunct w:val="0"/>
        <w:bidi w:val="0"/>
        <w:spacing w:line="588" w:lineRule="exact"/>
        <w:ind w:firstLine="444" w:firstLineChars="200"/>
        <w:rPr>
          <w:rFonts w:hint="eastAsia" w:ascii="宋体" w:hAnsi="宋体" w:eastAsia="宋体" w:cs="宋体"/>
          <w:color w:val="000000" w:themeColor="text1"/>
          <w:spacing w:val="6"/>
          <w:sz w:val="21"/>
          <w:szCs w:val="21"/>
          <w:highlight w:val="none"/>
          <w14:textFill>
            <w14:solidFill>
              <w14:schemeClr w14:val="tx1"/>
            </w14:solidFill>
          </w14:textFill>
        </w:rPr>
      </w:pPr>
    </w:p>
    <w:p w14:paraId="7CE7C5C0">
      <w:pPr>
        <w:keepLines w:val="0"/>
        <w:pageBreakBefore w:val="0"/>
        <w:tabs>
          <w:tab w:val="left" w:pos="4860"/>
        </w:tabs>
        <w:overflowPunct w:val="0"/>
        <w:topLinePunct w:val="0"/>
        <w:bidi w:val="0"/>
        <w:spacing w:line="588" w:lineRule="exact"/>
        <w:ind w:right="1560" w:firstLine="420" w:firstLineChars="20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p>
    <w:p w14:paraId="410B1B97">
      <w:pPr>
        <w:keepLines w:val="0"/>
        <w:pageBreakBefore w:val="0"/>
        <w:tabs>
          <w:tab w:val="left" w:pos="4860"/>
        </w:tabs>
        <w:overflowPunct w:val="0"/>
        <w:topLinePunct w:val="0"/>
        <w:bidi w:val="0"/>
        <w:spacing w:line="588" w:lineRule="exact"/>
        <w:ind w:right="1560" w:firstLine="420" w:firstLineChars="20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w:t>
      </w:r>
    </w:p>
    <w:p w14:paraId="37A7156F">
      <w:pPr>
        <w:keepLines w:val="0"/>
        <w:pageBreakBefore w:val="0"/>
        <w:tabs>
          <w:tab w:val="left" w:pos="963"/>
        </w:tabs>
        <w:overflowPunct w:val="0"/>
        <w:topLinePunct w:val="0"/>
        <w:bidi w:val="0"/>
        <w:spacing w:line="520" w:lineRule="exact"/>
        <w:jc w:val="left"/>
        <w:rPr>
          <w:rFonts w:hint="eastAsia" w:ascii="宋体" w:hAnsi="宋体" w:eastAsia="宋体" w:cs="宋体"/>
          <w:color w:val="000000" w:themeColor="text1"/>
          <w:sz w:val="21"/>
          <w:szCs w:val="21"/>
          <w:highlight w:val="none"/>
          <w14:textFill>
            <w14:solidFill>
              <w14:schemeClr w14:val="tx1"/>
            </w14:solidFill>
          </w14:textFill>
        </w:rPr>
      </w:pPr>
    </w:p>
    <w:p w14:paraId="48701C97">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9951DAB">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4D7303C">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0F7BE5F1">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6910D7AC">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301C951F">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0DE43035">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AD4B774">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27939FC">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F50EBD5">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E69FE80">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5C1D4F5">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0A288174">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363B70EE">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28DD759">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83BD673">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19D1EA88">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A216DF7">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A4A378A">
      <w:pPr>
        <w:keepLines w:val="0"/>
        <w:pageBreakBefore w:val="0"/>
        <w:overflowPunct w:val="0"/>
        <w:topLinePunct w:val="0"/>
        <w:bidi w:val="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FD0BCD4">
      <w:pPr>
        <w:keepLines w:val="0"/>
        <w:pageBreakBefore w:val="0"/>
        <w:widowControl/>
        <w:overflowPunct w:val="0"/>
        <w:topLinePunct w:val="0"/>
        <w:bidi w:val="0"/>
        <w:jc w:val="both"/>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br w:type="page"/>
      </w:r>
      <w:bookmarkStart w:id="36" w:name="_Toc8039"/>
      <w:r>
        <w:rPr>
          <w:rFonts w:hint="eastAsia" w:ascii="宋体" w:hAnsi="宋体" w:eastAsia="宋体" w:cs="宋体"/>
          <w:b/>
          <w:color w:val="000000" w:themeColor="text1"/>
          <w:sz w:val="21"/>
          <w:szCs w:val="21"/>
          <w:highlight w:val="none"/>
          <w:lang w:eastAsia="zh-CN"/>
          <w14:textFill>
            <w14:solidFill>
              <w14:schemeClr w14:val="tx1"/>
            </w14:solidFill>
          </w14:textFill>
        </w:rPr>
        <w:t>附件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5：</w:t>
      </w:r>
      <w:bookmarkEnd w:id="36"/>
    </w:p>
    <w:p w14:paraId="3275A887">
      <w:pPr>
        <w:keepLines w:val="0"/>
        <w:pageBreakBefore w:val="0"/>
        <w:widowControl/>
        <w:overflowPunct w:val="0"/>
        <w:topLinePunct w:val="0"/>
        <w:bidi w:val="0"/>
        <w:jc w:val="both"/>
        <w:rPr>
          <w:rFonts w:hint="eastAsia" w:ascii="宋体" w:hAnsi="宋体" w:eastAsia="宋体" w:cs="宋体"/>
          <w:b/>
          <w:color w:val="000000" w:themeColor="text1"/>
          <w:sz w:val="21"/>
          <w:szCs w:val="21"/>
          <w:highlight w:val="none"/>
          <w:lang w:val="en-US" w:eastAsia="zh-CN"/>
          <w14:textFill>
            <w14:solidFill>
              <w14:schemeClr w14:val="tx1"/>
            </w14:solidFill>
          </w14:textFill>
        </w:rPr>
      </w:pPr>
    </w:p>
    <w:p w14:paraId="3F208CB1">
      <w:pPr>
        <w:keepLines w:val="0"/>
        <w:pageBreakBefore w:val="0"/>
        <w:widowControl/>
        <w:overflowPunct w:val="0"/>
        <w:topLinePunct w:val="0"/>
        <w:bidi w:val="0"/>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监狱企业证明文件</w:t>
      </w:r>
      <w:r>
        <w:rPr>
          <w:rFonts w:hint="eastAsia" w:ascii="宋体" w:hAnsi="宋体" w:eastAsia="宋体" w:cs="宋体"/>
          <w:b/>
          <w:color w:val="000000" w:themeColor="text1"/>
          <w:sz w:val="21"/>
          <w:szCs w:val="21"/>
          <w:highlight w:val="none"/>
          <w:lang w:eastAsia="zh-CN"/>
          <w14:textFill>
            <w14:solidFill>
              <w14:schemeClr w14:val="tx1"/>
            </w14:solidFill>
          </w14:textFill>
        </w:rPr>
        <w:t>（如有）</w:t>
      </w:r>
    </w:p>
    <w:p w14:paraId="585F9CD5">
      <w:pPr>
        <w:keepLines w:val="0"/>
        <w:pageBreakBefore w:val="0"/>
        <w:overflowPunct w:val="0"/>
        <w:topLinePunct w:val="0"/>
        <w:bidi w:val="0"/>
        <w:adjustRightInd w:val="0"/>
        <w:snapToGrid w:val="0"/>
        <w:spacing w:before="50"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63453A77">
      <w:pPr>
        <w:keepLines w:val="0"/>
        <w:pageBreakBefore w:val="0"/>
        <w:overflowPunct w:val="0"/>
        <w:topLinePunct w:val="0"/>
        <w:bidi w:val="0"/>
        <w:adjustRightInd w:val="0"/>
        <w:snapToGrid w:val="0"/>
        <w:spacing w:line="5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说明：</w:t>
      </w:r>
    </w:p>
    <w:p w14:paraId="3EC39F07">
      <w:pPr>
        <w:keepLines w:val="0"/>
        <w:pageBreakBefore w:val="0"/>
        <w:overflowPunct w:val="0"/>
        <w:topLinePunct w:val="0"/>
        <w:bidi w:val="0"/>
        <w:adjustRightInd w:val="0"/>
        <w:snapToGrid w:val="0"/>
        <w:spacing w:line="5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1.无格式要求，由出具监狱企业证明的单位自行拟定；</w:t>
      </w:r>
    </w:p>
    <w:p w14:paraId="20BC4470">
      <w:pPr>
        <w:keepLines w:val="0"/>
        <w:pageBreakBefore w:val="0"/>
        <w:overflowPunct w:val="0"/>
        <w:topLinePunct w:val="0"/>
        <w:bidi w:val="0"/>
        <w:adjustRightInd w:val="0"/>
        <w:snapToGrid w:val="0"/>
        <w:spacing w:line="5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2.供应商未提供的，评审时不视为中小企业。</w:t>
      </w:r>
    </w:p>
    <w:p w14:paraId="18C4CB8D">
      <w:pPr>
        <w:keepLines w:val="0"/>
        <w:pageBreakBefore w:val="0"/>
        <w:overflowPunct w:val="0"/>
        <w:topLinePunct w:val="0"/>
        <w:bidi w:val="0"/>
        <w:adjustRightInd w:val="0"/>
        <w:snapToGrid w:val="0"/>
        <w:spacing w:line="500" w:lineRule="exact"/>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3.不符合条件的供应商无需填写。如果出现虚假应标，由此产生的后果由供应商自行负责。</w:t>
      </w:r>
    </w:p>
    <w:p w14:paraId="42EDC31D">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06F09FBF">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529ED803">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6A9B61D9">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3BF1CE82">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19016805">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3876848F">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4C922AAA">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218AA2E9">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2F399129">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207E5135">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11DFADFE">
      <w:pPr>
        <w:keepLines w:val="0"/>
        <w:pageBreakBefore w:val="0"/>
        <w:overflowPunct w:val="0"/>
        <w:topLinePunct w:val="0"/>
        <w:bidi w:val="0"/>
        <w:spacing w:line="44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7D90F6A8">
      <w:pPr>
        <w:keepLines w:val="0"/>
        <w:pageBreakBefore w:val="0"/>
        <w:overflowPunct w:val="0"/>
        <w:topLinePunct w:val="0"/>
        <w:bidi w:val="0"/>
        <w:spacing w:line="44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25DEFBD6">
      <w:pPr>
        <w:keepLines w:val="0"/>
        <w:pageBreakBefore w:val="0"/>
        <w:overflowPunct w:val="0"/>
        <w:topLinePunct w:val="0"/>
        <w:bidi w:val="0"/>
        <w:spacing w:line="44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3825BA39">
      <w:pPr>
        <w:keepLines w:val="0"/>
        <w:pageBreakBefore w:val="0"/>
        <w:overflowPunct w:val="0"/>
        <w:topLinePunct w:val="0"/>
        <w:bidi w:val="0"/>
        <w:spacing w:line="440" w:lineRule="exact"/>
        <w:jc w:val="both"/>
        <w:rPr>
          <w:rFonts w:hint="eastAsia" w:ascii="宋体" w:hAnsi="宋体" w:eastAsia="宋体" w:cs="宋体"/>
          <w:b/>
          <w:bCs/>
          <w:color w:val="000000" w:themeColor="text1"/>
          <w:sz w:val="36"/>
          <w:szCs w:val="36"/>
          <w:highlight w:val="none"/>
          <w14:textFill>
            <w14:solidFill>
              <w14:schemeClr w14:val="tx1"/>
            </w14:solidFill>
          </w14:textFill>
        </w:rPr>
      </w:pPr>
    </w:p>
    <w:p w14:paraId="7956BAFC">
      <w:pPr>
        <w:keepLines w:val="0"/>
        <w:pageBreakBefore w:val="0"/>
        <w:overflowPunct w:val="0"/>
        <w:topLinePunct w:val="0"/>
        <w:bidi w:val="0"/>
        <w:spacing w:line="44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28503301">
      <w:pPr>
        <w:keepLines w:val="0"/>
        <w:pageBreakBefore w:val="0"/>
        <w:overflowPunct w:val="0"/>
        <w:topLinePunct w:val="0"/>
        <w:bidi w:val="0"/>
        <w:spacing w:line="440" w:lineRule="exact"/>
        <w:jc w:val="center"/>
        <w:rPr>
          <w:rFonts w:hint="eastAsia" w:ascii="宋体" w:hAnsi="宋体" w:eastAsia="宋体" w:cs="宋体"/>
          <w:b/>
          <w:bCs/>
          <w:color w:val="000000" w:themeColor="text1"/>
          <w:sz w:val="36"/>
          <w:szCs w:val="36"/>
          <w:highlight w:val="none"/>
          <w14:textFill>
            <w14:solidFill>
              <w14:schemeClr w14:val="tx1"/>
            </w14:solidFill>
          </w14:textFill>
        </w:rPr>
      </w:pPr>
    </w:p>
    <w:p w14:paraId="27EA1F9C">
      <w:pPr>
        <w:keepLines w:val="0"/>
        <w:pageBreakBefore w:val="0"/>
        <w:overflowPunct w:val="0"/>
        <w:topLinePunct w:val="0"/>
        <w:bidi w:val="0"/>
        <w:spacing w:line="440" w:lineRule="exact"/>
        <w:rPr>
          <w:rFonts w:hint="eastAsia" w:ascii="宋体" w:hAnsi="宋体" w:eastAsia="宋体" w:cs="宋体"/>
          <w:color w:val="000000" w:themeColor="text1"/>
          <w:sz w:val="24"/>
          <w:highlight w:val="none"/>
          <w:lang w:val="en-US" w:eastAsia="zh-CN"/>
          <w14:textFill>
            <w14:solidFill>
              <w14:schemeClr w14:val="tx1"/>
            </w14:solidFill>
          </w14:textFill>
        </w:rPr>
      </w:pPr>
    </w:p>
    <w:p w14:paraId="39A1DC31">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07D2B5AC">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6FE436BD">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08F89BF4">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393C08E6">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288FF4C7">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3A109FA8">
      <w:pPr>
        <w:keepLines w:val="0"/>
        <w:pageBreakBefore w:val="0"/>
        <w:overflowPunct w:val="0"/>
        <w:topLinePunct w:val="0"/>
        <w:bidi w:val="0"/>
        <w:spacing w:line="56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r>
      <w:bookmarkStart w:id="37" w:name="_Toc30379"/>
      <w:bookmarkStart w:id="38" w:name="_Toc28712"/>
      <w:bookmarkStart w:id="39" w:name="_Toc3989"/>
      <w:bookmarkStart w:id="40" w:name="_Toc188808855"/>
      <w:bookmarkStart w:id="41" w:name="_Toc193126905"/>
      <w:bookmarkStart w:id="42" w:name="_Toc193187111"/>
      <w:bookmarkStart w:id="43" w:name="_Toc194663942"/>
      <w:bookmarkStart w:id="44" w:name="_Toc193126891"/>
      <w:bookmarkStart w:id="45" w:name="_Toc188808842"/>
      <w:r>
        <w:rPr>
          <w:rFonts w:hint="eastAsia" w:ascii="宋体" w:hAnsi="宋体" w:eastAsia="宋体" w:cs="宋体"/>
          <w:b/>
          <w:bCs/>
          <w:color w:val="000000" w:themeColor="text1"/>
          <w:sz w:val="36"/>
          <w:szCs w:val="36"/>
          <w:highlight w:val="none"/>
          <w:lang w:val="en-US" w:eastAsia="zh-CN"/>
          <w14:textFill>
            <w14:solidFill>
              <w14:schemeClr w14:val="tx1"/>
            </w14:solidFill>
          </w14:textFill>
        </w:rPr>
        <w:t>四</w:t>
      </w:r>
      <w:r>
        <w:rPr>
          <w:rFonts w:hint="eastAsia" w:ascii="宋体" w:hAnsi="宋体" w:eastAsia="宋体" w:cs="宋体"/>
          <w:b/>
          <w:bCs/>
          <w:color w:val="000000" w:themeColor="text1"/>
          <w:sz w:val="36"/>
          <w:szCs w:val="36"/>
          <w:highlight w:val="none"/>
          <w14:textFill>
            <w14:solidFill>
              <w14:schemeClr w14:val="tx1"/>
            </w14:solidFill>
          </w14:textFill>
        </w:rPr>
        <w:t>、</w:t>
      </w:r>
      <w:bookmarkEnd w:id="37"/>
      <w:bookmarkEnd w:id="38"/>
      <w:r>
        <w:rPr>
          <w:rFonts w:hint="eastAsia" w:ascii="宋体" w:hAnsi="宋体" w:eastAsia="宋体" w:cs="宋体"/>
          <w:b/>
          <w:bCs/>
          <w:color w:val="000000" w:themeColor="text1"/>
          <w:sz w:val="36"/>
          <w:szCs w:val="36"/>
          <w:highlight w:val="none"/>
          <w14:textFill>
            <w14:solidFill>
              <w14:schemeClr w14:val="tx1"/>
            </w14:solidFill>
          </w14:textFill>
        </w:rPr>
        <w:t>谈判报价方案说明书</w:t>
      </w:r>
      <w:bookmarkEnd w:id="39"/>
    </w:p>
    <w:p w14:paraId="05CD593F">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p>
    <w:p w14:paraId="04BECCBD">
      <w:pPr>
        <w:spacing w:before="83" w:line="598" w:lineRule="exact"/>
        <w:ind w:firstLine="210" w:firstLineChars="10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按照谈判文件的要求编制的谈判方案说明书，至少应包括以下内容，但不限于以下内容（供应商自拟格式，并编制相应目录）。</w:t>
      </w:r>
    </w:p>
    <w:p w14:paraId="4607B40F">
      <w:pPr>
        <w:spacing w:line="325"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42614CB0">
      <w:pPr>
        <w:spacing w:line="323"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一、所供货物和/或服务的详细说明、质量保证和售后服务承诺、服务期限、付款条件和付款方式、交货地点及运输方式、验收依据等</w:t>
      </w:r>
    </w:p>
    <w:p w14:paraId="4B482353">
      <w:pPr>
        <w:spacing w:before="71" w:line="596" w:lineRule="exact"/>
        <w:ind w:right="8"/>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二、供应商完成项目的服务方案、实施计划。至少包括供货方案、进度计划、人员安排、</w:t>
      </w:r>
    </w:p>
    <w:p w14:paraId="48D298A9">
      <w:pPr>
        <w:spacing w:before="1" w:line="230"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质量保证措施等;</w:t>
      </w:r>
    </w:p>
    <w:p w14:paraId="1CDCA7BA">
      <w:pPr>
        <w:spacing w:line="323"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169FEFCF">
      <w:pPr>
        <w:spacing w:before="71" w:line="231"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三、供应商完成项目保障能力;</w:t>
      </w:r>
    </w:p>
    <w:p w14:paraId="4214C2FB">
      <w:pPr>
        <w:spacing w:line="323"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73BC6B6B">
      <w:pPr>
        <w:spacing w:before="72" w:line="234"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四、质量保证及售后服务承诺；</w:t>
      </w:r>
    </w:p>
    <w:p w14:paraId="08961BB8">
      <w:pPr>
        <w:spacing w:line="319"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70CCB670">
      <w:pPr>
        <w:spacing w:before="72" w:line="231" w:lineRule="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五、供应商认为有必要说明的问题;</w:t>
      </w:r>
    </w:p>
    <w:p w14:paraId="0110D7EE">
      <w:pPr>
        <w:pStyle w:val="8"/>
        <w:keepLines w:val="0"/>
        <w:pageBreakBefore w:val="0"/>
        <w:overflowPunct w:val="0"/>
        <w:topLinePunct w:val="0"/>
        <w:bidi w:val="0"/>
        <w:spacing w:line="500" w:lineRule="exact"/>
        <w:ind w:firstLine="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39D2D975">
      <w:pPr>
        <w:pStyle w:val="8"/>
        <w:keepLines w:val="0"/>
        <w:pageBreakBefore w:val="0"/>
        <w:overflowPunct w:val="0"/>
        <w:topLinePunct w:val="0"/>
        <w:bidi w:val="0"/>
        <w:spacing w:line="500" w:lineRule="exact"/>
        <w:ind w:firstLine="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p w14:paraId="57E821D7">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0FE12EC5">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2188BB40">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2CADE4CD">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33162DED">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0DFFAE9D">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7C844503">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76E628E3">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44A4A2BF">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339896B6">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32707B91">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76872C2C">
      <w:pPr>
        <w:pStyle w:val="8"/>
        <w:keepLines w:val="0"/>
        <w:pageBreakBefore w:val="0"/>
        <w:overflowPunct w:val="0"/>
        <w:topLinePunct w:val="0"/>
        <w:bidi w:val="0"/>
        <w:spacing w:line="500" w:lineRule="exact"/>
        <w:ind w:firstLine="0"/>
        <w:rPr>
          <w:rFonts w:hint="eastAsia" w:ascii="宋体" w:hAnsi="宋体" w:eastAsia="宋体" w:cs="宋体"/>
          <w:bCs/>
          <w:color w:val="000000" w:themeColor="text1"/>
          <w:szCs w:val="21"/>
          <w:highlight w:val="none"/>
          <w14:textFill>
            <w14:solidFill>
              <w14:schemeClr w14:val="tx1"/>
            </w14:solidFill>
          </w14:textFill>
        </w:rPr>
      </w:pPr>
    </w:p>
    <w:p w14:paraId="5F2994D7">
      <w:pPr>
        <w:pStyle w:val="4"/>
        <w:keepLines w:val="0"/>
        <w:pageBreakBefore w:val="0"/>
        <w:numPr>
          <w:ilvl w:val="0"/>
          <w:numId w:val="0"/>
        </w:numPr>
        <w:overflowPunct w:val="0"/>
        <w:topLinePunct w:val="0"/>
        <w:bidi w:val="0"/>
        <w:spacing w:before="0" w:after="480" w:afterLines="200" w:line="240" w:lineRule="auto"/>
        <w:ind w:left="0" w:leftChars="0" w:firstLine="0" w:firstLineChars="0"/>
        <w:jc w:val="both"/>
        <w:outlineLvl w:val="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r>
      <w:bookmarkStart w:id="46" w:name="_Toc714"/>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附表1：技术响应偏离表</w:t>
      </w:r>
      <w:bookmarkEnd w:id="46"/>
    </w:p>
    <w:p w14:paraId="2E5EE086">
      <w:pPr>
        <w:spacing w:before="108" w:line="404" w:lineRule="exact"/>
        <w:ind w:left="22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
          <w:position w:val="12"/>
          <w:sz w:val="22"/>
          <w:szCs w:val="22"/>
          <w:highlight w:val="none"/>
          <w14:textFill>
            <w14:solidFill>
              <w14:schemeClr w14:val="tx1"/>
            </w14:solidFill>
          </w14:textFill>
        </w:rPr>
        <w:t>项目名称：</w:t>
      </w:r>
    </w:p>
    <w:p w14:paraId="3C338104">
      <w:pPr>
        <w:spacing w:before="1" w:line="233" w:lineRule="auto"/>
        <w:ind w:left="22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14:textFill>
            <w14:solidFill>
              <w14:schemeClr w14:val="tx1"/>
            </w14:solidFill>
          </w14:textFill>
        </w:rPr>
        <w:t>项目编号：</w:t>
      </w:r>
    </w:p>
    <w:p w14:paraId="6A8E4E01">
      <w:pPr>
        <w:rPr>
          <w:rFonts w:hint="eastAsia"/>
          <w:color w:val="000000" w:themeColor="text1"/>
          <w:highlight w:val="none"/>
          <w:lang w:val="en-US" w:eastAsia="zh-CN"/>
          <w14:textFill>
            <w14:solidFill>
              <w14:schemeClr w14:val="tx1"/>
            </w14:solidFill>
          </w14:textFill>
        </w:rPr>
      </w:pPr>
    </w:p>
    <w:tbl>
      <w:tblPr>
        <w:tblStyle w:val="20"/>
        <w:tblW w:w="9247" w:type="dxa"/>
        <w:tblInd w:w="-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474"/>
        <w:gridCol w:w="1865"/>
        <w:gridCol w:w="2542"/>
        <w:gridCol w:w="841"/>
        <w:gridCol w:w="1684"/>
      </w:tblGrid>
      <w:tr w14:paraId="63D2E8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841" w:type="dxa"/>
            <w:noWrap w:val="0"/>
            <w:vAlign w:val="center"/>
          </w:tcPr>
          <w:p w14:paraId="21B4299B">
            <w:pPr>
              <w:keepLines w:val="0"/>
              <w:pageBreakBefore w:val="0"/>
              <w:overflowPunct w:val="0"/>
              <w:topLinePunct w:val="0"/>
              <w:bidi w:val="0"/>
              <w:adjustRightInd w:val="0"/>
              <w:snapToGrid w:val="0"/>
              <w:ind w:right="23"/>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序号</w:t>
            </w:r>
          </w:p>
        </w:tc>
        <w:tc>
          <w:tcPr>
            <w:tcW w:w="1474" w:type="dxa"/>
            <w:noWrap w:val="0"/>
            <w:vAlign w:val="center"/>
          </w:tcPr>
          <w:p w14:paraId="0D878CD8">
            <w:pPr>
              <w:keepLines w:val="0"/>
              <w:pageBreakBefore w:val="0"/>
              <w:overflowPunct w:val="0"/>
              <w:topLinePunct w:val="0"/>
              <w:bidi w:val="0"/>
              <w:adjustRightInd w:val="0"/>
              <w:snapToGrid w:val="0"/>
              <w:ind w:right="23"/>
              <w:jc w:val="cente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货物名称</w:t>
            </w:r>
          </w:p>
        </w:tc>
        <w:tc>
          <w:tcPr>
            <w:tcW w:w="1865" w:type="dxa"/>
            <w:noWrap w:val="0"/>
            <w:vAlign w:val="center"/>
          </w:tcPr>
          <w:p w14:paraId="33DBB67A">
            <w:pPr>
              <w:keepLines w:val="0"/>
              <w:pageBreakBefore w:val="0"/>
              <w:overflowPunct w:val="0"/>
              <w:topLinePunct w:val="0"/>
              <w:bidi w:val="0"/>
              <w:adjustRightInd w:val="0"/>
              <w:snapToGrid w:val="0"/>
              <w:ind w:right="23"/>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招标</w:t>
            </w:r>
            <w:r>
              <w:rPr>
                <w:rFonts w:hint="eastAsia" w:ascii="宋体" w:hAnsi="宋体" w:eastAsia="宋体" w:cs="宋体"/>
                <w:b/>
                <w:color w:val="000000" w:themeColor="text1"/>
                <w:sz w:val="24"/>
                <w:highlight w:val="none"/>
                <w14:textFill>
                  <w14:solidFill>
                    <w14:schemeClr w14:val="tx1"/>
                  </w14:solidFill>
                </w14:textFill>
              </w:rPr>
              <w:t>文件</w:t>
            </w:r>
            <w:r>
              <w:rPr>
                <w:rFonts w:hint="eastAsia" w:ascii="宋体" w:hAnsi="宋体" w:eastAsia="宋体" w:cs="宋体"/>
                <w:b/>
                <w:color w:val="000000" w:themeColor="text1"/>
                <w:sz w:val="24"/>
                <w:highlight w:val="none"/>
                <w:lang w:val="en-US" w:eastAsia="zh-CN"/>
                <w14:textFill>
                  <w14:solidFill>
                    <w14:schemeClr w14:val="tx1"/>
                  </w14:solidFill>
                </w14:textFill>
              </w:rPr>
              <w:t>技术</w:t>
            </w:r>
            <w:r>
              <w:rPr>
                <w:rFonts w:hint="eastAsia" w:ascii="宋体" w:hAnsi="宋体" w:eastAsia="宋体" w:cs="宋体"/>
                <w:b/>
                <w:color w:val="000000" w:themeColor="text1"/>
                <w:sz w:val="24"/>
                <w:highlight w:val="none"/>
                <w14:textFill>
                  <w14:solidFill>
                    <w14:schemeClr w14:val="tx1"/>
                  </w14:solidFill>
                </w14:textFill>
              </w:rPr>
              <w:t>要求</w:t>
            </w:r>
          </w:p>
        </w:tc>
        <w:tc>
          <w:tcPr>
            <w:tcW w:w="2542" w:type="dxa"/>
            <w:noWrap w:val="0"/>
            <w:vAlign w:val="center"/>
          </w:tcPr>
          <w:p w14:paraId="69675219">
            <w:pPr>
              <w:keepLines w:val="0"/>
              <w:pageBreakBefore w:val="0"/>
              <w:overflowPunct w:val="0"/>
              <w:topLinePunct w:val="0"/>
              <w:bidi w:val="0"/>
              <w:adjustRightInd w:val="0"/>
              <w:snapToGrid w:val="0"/>
              <w:ind w:right="23"/>
              <w:jc w:val="center"/>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投标</w:t>
            </w:r>
            <w:r>
              <w:rPr>
                <w:rFonts w:hint="eastAsia" w:ascii="宋体" w:hAnsi="宋体" w:eastAsia="宋体" w:cs="宋体"/>
                <w:b/>
                <w:color w:val="000000" w:themeColor="text1"/>
                <w:sz w:val="24"/>
                <w:highlight w:val="none"/>
                <w14:textFill>
                  <w14:solidFill>
                    <w14:schemeClr w14:val="tx1"/>
                  </w14:solidFill>
                </w14:textFill>
              </w:rPr>
              <w:t>文件</w:t>
            </w:r>
            <w:r>
              <w:rPr>
                <w:rFonts w:hint="eastAsia" w:ascii="宋体" w:hAnsi="宋体" w:eastAsia="宋体" w:cs="宋体"/>
                <w:b/>
                <w:color w:val="000000" w:themeColor="text1"/>
                <w:sz w:val="24"/>
                <w:highlight w:val="none"/>
                <w:lang w:val="en-US" w:eastAsia="zh-CN"/>
                <w14:textFill>
                  <w14:solidFill>
                    <w14:schemeClr w14:val="tx1"/>
                  </w14:solidFill>
                </w14:textFill>
              </w:rPr>
              <w:t>技术</w:t>
            </w:r>
          </w:p>
          <w:p w14:paraId="715734DA">
            <w:pPr>
              <w:keepLines w:val="0"/>
              <w:pageBreakBefore w:val="0"/>
              <w:overflowPunct w:val="0"/>
              <w:topLinePunct w:val="0"/>
              <w:bidi w:val="0"/>
              <w:adjustRightInd w:val="0"/>
              <w:snapToGrid w:val="0"/>
              <w:ind w:right="23"/>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响应</w:t>
            </w:r>
          </w:p>
        </w:tc>
        <w:tc>
          <w:tcPr>
            <w:tcW w:w="841" w:type="dxa"/>
            <w:noWrap w:val="0"/>
            <w:vAlign w:val="center"/>
          </w:tcPr>
          <w:p w14:paraId="5F969689">
            <w:pPr>
              <w:keepLines w:val="0"/>
              <w:pageBreakBefore w:val="0"/>
              <w:overflowPunct w:val="0"/>
              <w:topLinePunct w:val="0"/>
              <w:bidi w:val="0"/>
              <w:adjustRightInd w:val="0"/>
              <w:snapToGrid w:val="0"/>
              <w:ind w:right="23"/>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偏</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离</w:t>
            </w:r>
          </w:p>
        </w:tc>
        <w:tc>
          <w:tcPr>
            <w:tcW w:w="1684" w:type="dxa"/>
            <w:noWrap w:val="0"/>
            <w:vAlign w:val="center"/>
          </w:tcPr>
          <w:p w14:paraId="38B8E479">
            <w:pPr>
              <w:keepLines w:val="0"/>
              <w:pageBreakBefore w:val="0"/>
              <w:overflowPunct w:val="0"/>
              <w:topLinePunct w:val="0"/>
              <w:bidi w:val="0"/>
              <w:adjustRightInd w:val="0"/>
              <w:snapToGrid w:val="0"/>
              <w:ind w:right="23"/>
              <w:jc w:val="cente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说明</w:t>
            </w:r>
          </w:p>
        </w:tc>
      </w:tr>
      <w:tr w14:paraId="34FD82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2F8C531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661AA5C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12ADB898">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0724B2C3">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60A0C072">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2496EEEF">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5D5BAB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3433B7FF">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4D91BBE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72E948E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48BB8D2B">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3ECB6F8E">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74092089">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749EE6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125F3030">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31D2B8E2">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550B587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34EC42BB">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1EDBE4F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4413C44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055ACB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3222155A">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7ECE1CB9">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1D2428A8">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43FC8A56">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718B9DF0">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712F63E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789929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5759A55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6480CFE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6101C95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299F2B2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6E0B328E">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34592A4E">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17BE1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031FBCEF">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49B98169">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3F17E73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0FDD4D7E">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3B5A384F">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7A9523A0">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6F4B42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2F19F4BA">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602562DC">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2C219C6A">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62CE8D1C">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54098226">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64B4A259">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25A121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2E72E109">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3C28F1DA">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1D144CE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51A810B2">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6972E18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3A321F98">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00E090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548B3290">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652817BC">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3296D820">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05C08FC5">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7629C03F">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64AAA4F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3EC961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0F816D46">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016AD52F">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13C1786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3137FD9C">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57AF2283">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64C9984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4DE1ED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72F5DC84">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6AC1C6A2">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082A80B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0DF1E0F2">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714E3E42">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6D1D6AA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0AE466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6ACA74A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6CB7C6E8">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0A7073A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64A22D5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57E19FD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47AAF5E7">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620D4A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756D1653">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0EE607A8">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0D52ABA9">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1120A72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6DBE7465">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41EA6C20">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r w14:paraId="2B88BB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1" w:type="dxa"/>
            <w:noWrap w:val="0"/>
            <w:vAlign w:val="top"/>
          </w:tcPr>
          <w:p w14:paraId="4CFD428E">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474" w:type="dxa"/>
            <w:noWrap w:val="0"/>
            <w:vAlign w:val="top"/>
          </w:tcPr>
          <w:p w14:paraId="30CC474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865" w:type="dxa"/>
            <w:noWrap w:val="0"/>
            <w:vAlign w:val="top"/>
          </w:tcPr>
          <w:p w14:paraId="1CE900D8">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2542" w:type="dxa"/>
            <w:noWrap w:val="0"/>
            <w:vAlign w:val="top"/>
          </w:tcPr>
          <w:p w14:paraId="1EE1DA8E">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841" w:type="dxa"/>
            <w:noWrap w:val="0"/>
            <w:vAlign w:val="top"/>
          </w:tcPr>
          <w:p w14:paraId="33B7981D">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c>
          <w:tcPr>
            <w:tcW w:w="1684" w:type="dxa"/>
            <w:noWrap w:val="0"/>
            <w:vAlign w:val="top"/>
          </w:tcPr>
          <w:p w14:paraId="527302B1">
            <w:pPr>
              <w:keepLines w:val="0"/>
              <w:pageBreakBefore w:val="0"/>
              <w:overflowPunct w:val="0"/>
              <w:topLinePunct w:val="0"/>
              <w:bidi w:val="0"/>
              <w:adjustRightInd w:val="0"/>
              <w:snapToGrid w:val="0"/>
              <w:spacing w:line="360" w:lineRule="auto"/>
              <w:ind w:right="24"/>
              <w:rPr>
                <w:rFonts w:hint="eastAsia" w:ascii="宋体" w:hAnsi="宋体" w:eastAsia="宋体" w:cs="宋体"/>
                <w:bCs/>
                <w:color w:val="000000" w:themeColor="text1"/>
                <w:sz w:val="24"/>
                <w:highlight w:val="none"/>
                <w14:textFill>
                  <w14:solidFill>
                    <w14:schemeClr w14:val="tx1"/>
                  </w14:solidFill>
                </w14:textFill>
              </w:rPr>
            </w:pPr>
          </w:p>
        </w:tc>
      </w:tr>
    </w:tbl>
    <w:p w14:paraId="6708AC10">
      <w:pPr>
        <w:keepLines w:val="0"/>
        <w:pageBreakBefore w:val="0"/>
        <w:overflowPunct w:val="0"/>
        <w:topLinePunct w:val="0"/>
        <w:bidi w:val="0"/>
        <w:spacing w:line="560" w:lineRule="exact"/>
        <w:rPr>
          <w:rFonts w:hint="eastAsia" w:ascii="宋体" w:hAnsi="宋体" w:eastAsia="宋体" w:cs="宋体"/>
          <w:b/>
          <w:color w:val="000000" w:themeColor="text1"/>
          <w:szCs w:val="21"/>
          <w:highlight w:val="none"/>
          <w14:textFill>
            <w14:solidFill>
              <w14:schemeClr w14:val="tx1"/>
            </w14:solidFill>
          </w14:textFill>
        </w:rPr>
      </w:pPr>
    </w:p>
    <w:p w14:paraId="517C0D1D">
      <w:pPr>
        <w:keepLines w:val="0"/>
        <w:pageBreakBefore w:val="0"/>
        <w:overflowPunct w:val="0"/>
        <w:topLinePunct w:val="0"/>
        <w:bidi w:val="0"/>
        <w:spacing w:before="120" w:beforeLines="50" w:line="400" w:lineRule="exact"/>
        <w:ind w:left="-141" w:leftChars="-67"/>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w:t>
      </w:r>
      <w:r>
        <w:rPr>
          <w:rFonts w:hint="eastAsia" w:ascii="宋体" w:hAnsi="宋体" w:eastAsia="宋体" w:cs="宋体"/>
          <w:color w:val="000000" w:themeColor="text1"/>
          <w:sz w:val="24"/>
          <w:szCs w:val="24"/>
          <w:highlight w:val="none"/>
          <w:lang w:val="en-US" w:eastAsia="zh-CN"/>
          <w14:textFill>
            <w14:solidFill>
              <w14:schemeClr w14:val="tx1"/>
            </w14:solidFill>
          </w14:textFill>
        </w:rPr>
        <w:t>按照第三章</w:t>
      </w:r>
      <w:r>
        <w:rPr>
          <w:rFonts w:hint="eastAsia" w:ascii="宋体" w:hAnsi="宋体" w:eastAsia="宋体" w:cs="宋体"/>
          <w:color w:val="000000" w:themeColor="text1"/>
          <w:sz w:val="24"/>
          <w:szCs w:val="24"/>
          <w:highlight w:val="none"/>
          <w14:textFill>
            <w14:solidFill>
              <w14:schemeClr w14:val="tx1"/>
            </w14:solidFill>
          </w14:textFill>
        </w:rPr>
        <w:t>采购内容及技术要求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的内容填报</w:t>
      </w:r>
    </w:p>
    <w:p w14:paraId="0824F8A7">
      <w:pPr>
        <w:keepLines w:val="0"/>
        <w:pageBreakBefore w:val="0"/>
        <w:overflowPunct w:val="0"/>
        <w:topLinePunct w:val="0"/>
        <w:bidi w:val="0"/>
        <w:spacing w:line="400" w:lineRule="exact"/>
        <w:ind w:left="-141" w:leftChars="-67"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2.偏离情况填写：正偏离、无偏离、负偏离。</w:t>
      </w:r>
    </w:p>
    <w:p w14:paraId="0418A41D">
      <w:pPr>
        <w:keepLines w:val="0"/>
        <w:pageBreakBefore w:val="0"/>
        <w:overflowPunct w:val="0"/>
        <w:topLinePunct w:val="0"/>
        <w:bidi w:val="0"/>
        <w:spacing w:line="400" w:lineRule="exact"/>
        <w:ind w:left="-141" w:leftChars="-67"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3、响应说明填写：对偏离情况做出详细说明。</w:t>
      </w:r>
    </w:p>
    <w:p w14:paraId="715A9C46">
      <w:pPr>
        <w:keepLines w:val="0"/>
        <w:pageBreakBefore w:val="0"/>
        <w:overflowPunct w:val="0"/>
        <w:topLinePunct w:val="0"/>
        <w:bidi w:val="0"/>
        <w:spacing w:line="500" w:lineRule="exact"/>
        <w:ind w:firstLine="420"/>
        <w:rPr>
          <w:rFonts w:hint="eastAsia" w:ascii="宋体" w:hAnsi="宋体" w:eastAsia="宋体" w:cs="宋体"/>
          <w:color w:val="000000" w:themeColor="text1"/>
          <w:position w:val="4"/>
          <w:szCs w:val="21"/>
          <w:highlight w:val="none"/>
          <w14:textFill>
            <w14:solidFill>
              <w14:schemeClr w14:val="tx1"/>
            </w14:solidFill>
          </w14:textFill>
        </w:rPr>
      </w:pPr>
    </w:p>
    <w:p w14:paraId="2A9CD2FF">
      <w:pPr>
        <w:keepLines w:val="0"/>
        <w:pageBreakBefore w:val="0"/>
        <w:overflowPunct w:val="0"/>
        <w:topLinePunct w:val="0"/>
        <w:bidi w:val="0"/>
        <w:spacing w:line="500" w:lineRule="exact"/>
        <w:ind w:firstLine="420"/>
        <w:rPr>
          <w:rFonts w:hint="eastAsia" w:ascii="宋体" w:hAnsi="宋体" w:eastAsia="宋体" w:cs="宋体"/>
          <w:color w:val="000000" w:themeColor="text1"/>
          <w:position w:val="4"/>
          <w:szCs w:val="21"/>
          <w:highlight w:val="none"/>
          <w14:textFill>
            <w14:solidFill>
              <w14:schemeClr w14:val="tx1"/>
            </w14:solidFill>
          </w14:textFill>
        </w:rPr>
      </w:pPr>
    </w:p>
    <w:p w14:paraId="6E92E6BE">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（单位全称、盖章）   </w:t>
      </w:r>
    </w:p>
    <w:p w14:paraId="173C5D4D">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法定代表人或授权代表：</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（盖章或签字）    </w:t>
      </w:r>
    </w:p>
    <w:p w14:paraId="38EBCD7B">
      <w:pPr>
        <w:keepLines w:val="0"/>
        <w:pageBreakBefore w:val="0"/>
        <w:overflowPunct w:val="0"/>
        <w:topLinePunct w:val="0"/>
        <w:bidi w:val="0"/>
        <w:spacing w:line="500" w:lineRule="exact"/>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谈判日期：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78ED0313">
      <w:pPr>
        <w:keepLines w:val="0"/>
        <w:pageBreakBefore w:val="0"/>
        <w:overflowPunct w:val="0"/>
        <w:topLinePunct w:val="0"/>
        <w:bidi w:val="0"/>
        <w:spacing w:line="440" w:lineRule="exact"/>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47" w:name="_Toc22688"/>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附表2：商务</w:t>
      </w:r>
      <w:r>
        <w:rPr>
          <w:rFonts w:hint="eastAsia" w:ascii="宋体" w:hAnsi="宋体" w:cs="宋体"/>
          <w:b/>
          <w:bCs/>
          <w:color w:val="000000" w:themeColor="text1"/>
          <w:kern w:val="2"/>
          <w:sz w:val="24"/>
          <w:szCs w:val="24"/>
          <w:highlight w:val="none"/>
          <w:lang w:val="en-US" w:eastAsia="zh-CN" w:bidi="ar-SA"/>
          <w14:textFill>
            <w14:solidFill>
              <w14:schemeClr w14:val="tx1"/>
            </w14:solidFill>
          </w14:textFill>
        </w:rPr>
        <w:t>响应</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偏离表</w:t>
      </w:r>
      <w:bookmarkEnd w:id="47"/>
    </w:p>
    <w:p w14:paraId="679BE528">
      <w:pPr>
        <w:keepLines w:val="0"/>
        <w:pageBreakBefore w:val="0"/>
        <w:overflowPunct w:val="0"/>
        <w:topLinePunct w:val="0"/>
        <w:bidi w:val="0"/>
        <w:spacing w:line="560" w:lineRule="exact"/>
        <w:ind w:firstLine="210" w:firstLineChars="1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p>
    <w:p w14:paraId="0673EE51">
      <w:pPr>
        <w:spacing w:before="108" w:line="404" w:lineRule="exact"/>
        <w:ind w:left="22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
          <w:position w:val="12"/>
          <w:sz w:val="22"/>
          <w:szCs w:val="22"/>
          <w:highlight w:val="none"/>
          <w14:textFill>
            <w14:solidFill>
              <w14:schemeClr w14:val="tx1"/>
            </w14:solidFill>
          </w14:textFill>
        </w:rPr>
        <w:t>项目名称：</w:t>
      </w:r>
    </w:p>
    <w:p w14:paraId="36E3DFE5">
      <w:pPr>
        <w:spacing w:before="1" w:line="233" w:lineRule="auto"/>
        <w:ind w:left="22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pacing w:val="-2"/>
          <w:sz w:val="22"/>
          <w:szCs w:val="22"/>
          <w:highlight w:val="none"/>
          <w14:textFill>
            <w14:solidFill>
              <w14:schemeClr w14:val="tx1"/>
            </w14:solidFill>
          </w14:textFill>
        </w:rPr>
        <w:t>项目编号：</w:t>
      </w:r>
    </w:p>
    <w:p w14:paraId="1571DF51">
      <w:pPr>
        <w:keepLines w:val="0"/>
        <w:pageBreakBefore w:val="0"/>
        <w:overflowPunct w:val="0"/>
        <w:topLinePunct w:val="0"/>
        <w:bidi w:val="0"/>
        <w:spacing w:line="560" w:lineRule="exact"/>
        <w:rPr>
          <w:rFonts w:hint="eastAsia" w:ascii="宋体" w:hAnsi="宋体" w:eastAsia="宋体" w:cs="宋体"/>
          <w:b/>
          <w:bCs/>
          <w:color w:val="000000" w:themeColor="text1"/>
          <w:sz w:val="36"/>
          <w:szCs w:val="36"/>
          <w:highlight w:val="none"/>
          <w14:textFill>
            <w14:solidFill>
              <w14:schemeClr w14:val="tx1"/>
            </w14:solidFill>
          </w14:textFill>
        </w:rPr>
      </w:pPr>
    </w:p>
    <w:tbl>
      <w:tblPr>
        <w:tblStyle w:val="20"/>
        <w:tblW w:w="0" w:type="auto"/>
        <w:tblInd w:w="13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560729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noWrap w:val="0"/>
            <w:vAlign w:val="center"/>
          </w:tcPr>
          <w:p w14:paraId="5D9B08FA">
            <w:pPr>
              <w:keepLines w:val="0"/>
              <w:pageBreakBefore w:val="0"/>
              <w:overflowPunct w:val="0"/>
              <w:topLinePunct w:val="0"/>
              <w:bidi w:val="0"/>
              <w:spacing w:line="320" w:lineRule="exact"/>
              <w:ind w:left="-97" w:leftChars="-46"/>
              <w:jc w:val="center"/>
              <w:rPr>
                <w:rFonts w:hint="eastAsia" w:ascii="宋体" w:hAnsi="宋体" w:eastAsia="宋体" w:cs="宋体"/>
                <w:b/>
                <w:bCs/>
                <w:color w:val="000000" w:themeColor="text1"/>
                <w:position w:val="4"/>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序号</w:t>
            </w:r>
          </w:p>
        </w:tc>
        <w:tc>
          <w:tcPr>
            <w:tcW w:w="2910" w:type="dxa"/>
            <w:noWrap w:val="0"/>
            <w:vAlign w:val="center"/>
          </w:tcPr>
          <w:p w14:paraId="7FA21367">
            <w:pPr>
              <w:keepLines w:val="0"/>
              <w:pageBreakBefore w:val="0"/>
              <w:overflowPunct w:val="0"/>
              <w:topLinePunct w:val="0"/>
              <w:bidi w:val="0"/>
              <w:spacing w:line="320" w:lineRule="exact"/>
              <w:jc w:val="center"/>
              <w:rPr>
                <w:rFonts w:hint="eastAsia" w:ascii="宋体" w:hAnsi="宋体" w:eastAsia="宋体" w:cs="宋体"/>
                <w:b/>
                <w:bCs/>
                <w:color w:val="000000" w:themeColor="text1"/>
                <w:position w:val="4"/>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竞争性谈判文件商务要求</w:t>
            </w:r>
          </w:p>
        </w:tc>
        <w:tc>
          <w:tcPr>
            <w:tcW w:w="2625" w:type="dxa"/>
            <w:noWrap w:val="0"/>
            <w:vAlign w:val="center"/>
          </w:tcPr>
          <w:p w14:paraId="24E7F99B">
            <w:pPr>
              <w:keepLines w:val="0"/>
              <w:pageBreakBefore w:val="0"/>
              <w:overflowPunct w:val="0"/>
              <w:topLinePunct w:val="0"/>
              <w:bidi w:val="0"/>
              <w:spacing w:line="320" w:lineRule="exact"/>
              <w:jc w:val="center"/>
              <w:rPr>
                <w:rFonts w:hint="eastAsia" w:ascii="宋体" w:hAnsi="宋体" w:eastAsia="宋体" w:cs="宋体"/>
                <w:b/>
                <w:bCs/>
                <w:color w:val="000000" w:themeColor="text1"/>
                <w:position w:val="4"/>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谈判响应文件商务响应</w:t>
            </w:r>
          </w:p>
        </w:tc>
        <w:tc>
          <w:tcPr>
            <w:tcW w:w="1590" w:type="dxa"/>
            <w:noWrap w:val="0"/>
            <w:vAlign w:val="center"/>
          </w:tcPr>
          <w:p w14:paraId="4ABD474A">
            <w:pPr>
              <w:keepLines w:val="0"/>
              <w:pageBreakBefore w:val="0"/>
              <w:overflowPunct w:val="0"/>
              <w:topLinePunct w:val="0"/>
              <w:bidi w:val="0"/>
              <w:spacing w:line="320" w:lineRule="exact"/>
              <w:jc w:val="center"/>
              <w:rPr>
                <w:rFonts w:hint="eastAsia" w:ascii="宋体" w:hAnsi="宋体" w:eastAsia="宋体" w:cs="宋体"/>
                <w:b/>
                <w:bCs/>
                <w:color w:val="000000" w:themeColor="text1"/>
                <w:position w:val="4"/>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偏离情况</w:t>
            </w:r>
          </w:p>
        </w:tc>
        <w:tc>
          <w:tcPr>
            <w:tcW w:w="1245" w:type="dxa"/>
            <w:noWrap w:val="0"/>
            <w:vAlign w:val="center"/>
          </w:tcPr>
          <w:p w14:paraId="62F067F4">
            <w:pPr>
              <w:keepLines w:val="0"/>
              <w:pageBreakBefore w:val="0"/>
              <w:overflowPunct w:val="0"/>
              <w:topLinePunct w:val="0"/>
              <w:bidi w:val="0"/>
              <w:spacing w:line="320" w:lineRule="exact"/>
              <w:jc w:val="center"/>
              <w:rPr>
                <w:rFonts w:hint="eastAsia" w:ascii="宋体" w:hAnsi="宋体" w:eastAsia="宋体" w:cs="宋体"/>
                <w:b/>
                <w:bCs/>
                <w:color w:val="000000" w:themeColor="text1"/>
                <w:position w:val="4"/>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说明</w:t>
            </w:r>
          </w:p>
        </w:tc>
      </w:tr>
      <w:tr w14:paraId="006457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top"/>
          </w:tcPr>
          <w:p w14:paraId="14AF264B">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910" w:type="dxa"/>
            <w:noWrap w:val="0"/>
            <w:vAlign w:val="top"/>
          </w:tcPr>
          <w:p w14:paraId="4A8A36CD">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625" w:type="dxa"/>
            <w:noWrap w:val="0"/>
            <w:vAlign w:val="top"/>
          </w:tcPr>
          <w:p w14:paraId="29711263">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590" w:type="dxa"/>
            <w:noWrap w:val="0"/>
            <w:vAlign w:val="top"/>
          </w:tcPr>
          <w:p w14:paraId="78EE53C2">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245" w:type="dxa"/>
            <w:noWrap w:val="0"/>
            <w:vAlign w:val="top"/>
          </w:tcPr>
          <w:p w14:paraId="7A354AF9">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r>
      <w:tr w14:paraId="620C61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top"/>
          </w:tcPr>
          <w:p w14:paraId="72762E7B">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910" w:type="dxa"/>
            <w:noWrap w:val="0"/>
            <w:vAlign w:val="top"/>
          </w:tcPr>
          <w:p w14:paraId="60E3D809">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625" w:type="dxa"/>
            <w:noWrap w:val="0"/>
            <w:vAlign w:val="top"/>
          </w:tcPr>
          <w:p w14:paraId="434D2EA4">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590" w:type="dxa"/>
            <w:noWrap w:val="0"/>
            <w:vAlign w:val="top"/>
          </w:tcPr>
          <w:p w14:paraId="64FF6F29">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245" w:type="dxa"/>
            <w:noWrap w:val="0"/>
            <w:vAlign w:val="top"/>
          </w:tcPr>
          <w:p w14:paraId="4B56CB16">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r>
      <w:tr w14:paraId="439E70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top"/>
          </w:tcPr>
          <w:p w14:paraId="6BA5052C">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910" w:type="dxa"/>
            <w:noWrap w:val="0"/>
            <w:vAlign w:val="top"/>
          </w:tcPr>
          <w:p w14:paraId="6DA798A5">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625" w:type="dxa"/>
            <w:noWrap w:val="0"/>
            <w:vAlign w:val="top"/>
          </w:tcPr>
          <w:p w14:paraId="4C01EB70">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590" w:type="dxa"/>
            <w:noWrap w:val="0"/>
            <w:vAlign w:val="top"/>
          </w:tcPr>
          <w:p w14:paraId="46024170">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245" w:type="dxa"/>
            <w:noWrap w:val="0"/>
            <w:vAlign w:val="top"/>
          </w:tcPr>
          <w:p w14:paraId="3685110B">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r>
      <w:tr w14:paraId="0E9341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top"/>
          </w:tcPr>
          <w:p w14:paraId="4D5C5B75">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910" w:type="dxa"/>
            <w:noWrap w:val="0"/>
            <w:vAlign w:val="top"/>
          </w:tcPr>
          <w:p w14:paraId="734FD062">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625" w:type="dxa"/>
            <w:noWrap w:val="0"/>
            <w:vAlign w:val="top"/>
          </w:tcPr>
          <w:p w14:paraId="18071E6E">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590" w:type="dxa"/>
            <w:noWrap w:val="0"/>
            <w:vAlign w:val="top"/>
          </w:tcPr>
          <w:p w14:paraId="6484C390">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245" w:type="dxa"/>
            <w:noWrap w:val="0"/>
            <w:vAlign w:val="top"/>
          </w:tcPr>
          <w:p w14:paraId="3FA5EFA6">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r>
      <w:tr w14:paraId="528FAB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top"/>
          </w:tcPr>
          <w:p w14:paraId="118204B7">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910" w:type="dxa"/>
            <w:noWrap w:val="0"/>
            <w:vAlign w:val="top"/>
          </w:tcPr>
          <w:p w14:paraId="32ECE04E">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625" w:type="dxa"/>
            <w:noWrap w:val="0"/>
            <w:vAlign w:val="top"/>
          </w:tcPr>
          <w:p w14:paraId="3E2F3C9E">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590" w:type="dxa"/>
            <w:noWrap w:val="0"/>
            <w:vAlign w:val="top"/>
          </w:tcPr>
          <w:p w14:paraId="256EFFA5">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245" w:type="dxa"/>
            <w:noWrap w:val="0"/>
            <w:vAlign w:val="top"/>
          </w:tcPr>
          <w:p w14:paraId="2F0FB09D">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r>
      <w:tr w14:paraId="64D147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0" w:type="dxa"/>
            <w:noWrap w:val="0"/>
            <w:vAlign w:val="top"/>
          </w:tcPr>
          <w:p w14:paraId="1593F130">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910" w:type="dxa"/>
            <w:noWrap w:val="0"/>
            <w:vAlign w:val="top"/>
          </w:tcPr>
          <w:p w14:paraId="255DC48B">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2625" w:type="dxa"/>
            <w:noWrap w:val="0"/>
            <w:vAlign w:val="top"/>
          </w:tcPr>
          <w:p w14:paraId="35D8AB58">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590" w:type="dxa"/>
            <w:noWrap w:val="0"/>
            <w:vAlign w:val="top"/>
          </w:tcPr>
          <w:p w14:paraId="394A8B3C">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c>
          <w:tcPr>
            <w:tcW w:w="1245" w:type="dxa"/>
            <w:noWrap w:val="0"/>
            <w:vAlign w:val="top"/>
          </w:tcPr>
          <w:p w14:paraId="262DD60B">
            <w:pPr>
              <w:keepLines w:val="0"/>
              <w:pageBreakBefore w:val="0"/>
              <w:overflowPunct w:val="0"/>
              <w:topLinePunct w:val="0"/>
              <w:bidi w:val="0"/>
              <w:spacing w:line="560" w:lineRule="exact"/>
              <w:rPr>
                <w:rFonts w:hint="eastAsia" w:ascii="宋体" w:hAnsi="宋体" w:eastAsia="宋体" w:cs="宋体"/>
                <w:b/>
                <w:bCs/>
                <w:color w:val="000000" w:themeColor="text1"/>
                <w:position w:val="4"/>
                <w:sz w:val="32"/>
                <w:szCs w:val="32"/>
                <w:highlight w:val="none"/>
                <w14:textFill>
                  <w14:solidFill>
                    <w14:schemeClr w14:val="tx1"/>
                  </w14:solidFill>
                </w14:textFill>
              </w:rPr>
            </w:pPr>
          </w:p>
        </w:tc>
      </w:tr>
    </w:tbl>
    <w:p w14:paraId="62A3851E">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w:t>
      </w:r>
      <w:r>
        <w:rPr>
          <w:rFonts w:hint="eastAsia" w:ascii="宋体" w:hAnsi="宋体" w:eastAsia="宋体" w:cs="宋体"/>
          <w:color w:val="000000" w:themeColor="text1"/>
          <w:szCs w:val="21"/>
          <w:highlight w:val="none"/>
          <w14:textFill>
            <w14:solidFill>
              <w14:schemeClr w14:val="tx1"/>
            </w14:solidFill>
          </w14:textFill>
        </w:rPr>
        <w:t>1、如对本项目商务条款有偏离的，请按上表所列内容依次填写；若未填视为其所有商务条款均完全响应“</w:t>
      </w:r>
      <w:r>
        <w:rPr>
          <w:rFonts w:hint="eastAsia" w:ascii="宋体" w:hAnsi="宋体" w:eastAsia="宋体" w:cs="宋体"/>
          <w:color w:val="000000" w:themeColor="text1"/>
          <w:szCs w:val="21"/>
          <w:highlight w:val="none"/>
          <w:lang w:eastAsia="zh-CN"/>
          <w14:textFill>
            <w14:solidFill>
              <w14:schemeClr w14:val="tx1"/>
            </w14:solidFill>
          </w14:textFill>
        </w:rPr>
        <w:t>谈判</w:t>
      </w:r>
      <w:r>
        <w:rPr>
          <w:rFonts w:hint="eastAsia" w:ascii="宋体" w:hAnsi="宋体" w:eastAsia="宋体" w:cs="宋体"/>
          <w:color w:val="000000" w:themeColor="text1"/>
          <w:szCs w:val="21"/>
          <w:highlight w:val="none"/>
          <w14:textFill>
            <w14:solidFill>
              <w14:schemeClr w14:val="tx1"/>
            </w14:solidFill>
          </w14:textFill>
        </w:rPr>
        <w:t xml:space="preserve">文件”中的要求。 </w:t>
      </w:r>
    </w:p>
    <w:p w14:paraId="52ACC059">
      <w:pPr>
        <w:keepLines w:val="0"/>
        <w:pageBreakBefore w:val="0"/>
        <w:numPr>
          <w:ilvl w:val="0"/>
          <w:numId w:val="10"/>
        </w:numPr>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供应商必须据实填写，不得虚假响应，否则将取消其谈判或成交资格，并按有关规定进行处罚。</w:t>
      </w:r>
    </w:p>
    <w:p w14:paraId="012B2C36">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54B41434">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76A8D003">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供应商：</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（单位全称、盖章）   </w:t>
      </w:r>
    </w:p>
    <w:p w14:paraId="77062708">
      <w:pPr>
        <w:pStyle w:val="24"/>
        <w:keepLines w:val="0"/>
        <w:pageBreakBefore w:val="0"/>
        <w:overflowPunct w:val="0"/>
        <w:topLinePunct w:val="0"/>
        <w:bidi w:val="0"/>
        <w:spacing w:line="500" w:lineRule="exact"/>
        <w:jc w:val="left"/>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法定代表人或授权代表：</w:t>
      </w:r>
      <w:r>
        <w:rPr>
          <w:rFonts w:hint="eastAsia" w:ascii="宋体" w:hAnsi="宋体" w:eastAsia="宋体" w:cs="宋体"/>
          <w:b w:val="0"/>
          <w:color w:val="000000" w:themeColor="text1"/>
          <w:sz w:val="21"/>
          <w:szCs w:val="21"/>
          <w:highlight w:val="none"/>
          <w:u w:val="single"/>
          <w14:textFill>
            <w14:solidFill>
              <w14:schemeClr w14:val="tx1"/>
            </w14:solidFill>
          </w14:textFill>
        </w:rPr>
        <w:t xml:space="preserve">     （盖章或签字）    </w:t>
      </w:r>
    </w:p>
    <w:p w14:paraId="3A322047">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谈判日期：</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p>
    <w:p w14:paraId="0D4CE4B9">
      <w:pPr>
        <w:keepLines w:val="0"/>
        <w:pageBreakBefore w:val="0"/>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p>
    <w:p w14:paraId="4DECFB86">
      <w:pPr>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bookmarkStart w:id="48" w:name="_Toc6324"/>
      <w:bookmarkStart w:id="49" w:name="_Toc4043"/>
      <w:bookmarkStart w:id="50" w:name="_Toc3536"/>
      <w:r>
        <w:rPr>
          <w:rFonts w:hint="eastAsia" w:ascii="宋体" w:hAnsi="宋体" w:eastAsia="宋体" w:cs="宋体"/>
          <w:b/>
          <w:bCs/>
          <w:color w:val="000000" w:themeColor="text1"/>
          <w:sz w:val="36"/>
          <w:szCs w:val="36"/>
          <w:highlight w:val="none"/>
          <w:lang w:val="en-US" w:eastAsia="zh-CN"/>
          <w14:textFill>
            <w14:solidFill>
              <w14:schemeClr w14:val="tx1"/>
            </w14:solidFill>
          </w14:textFill>
        </w:rPr>
        <w:br w:type="page"/>
      </w:r>
    </w:p>
    <w:p w14:paraId="1B3054F5">
      <w:pPr>
        <w:keepLines w:val="0"/>
        <w:pageBreakBefore w:val="0"/>
        <w:overflowPunct w:val="0"/>
        <w:topLinePunct w:val="0"/>
        <w:bidi w:val="0"/>
        <w:spacing w:line="560" w:lineRule="atLeast"/>
        <w:jc w:val="center"/>
        <w:outlineLvl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五</w:t>
      </w:r>
      <w:r>
        <w:rPr>
          <w:rFonts w:hint="eastAsia" w:ascii="宋体" w:hAnsi="宋体" w:eastAsia="宋体" w:cs="宋体"/>
          <w:b/>
          <w:bCs/>
          <w:color w:val="000000" w:themeColor="text1"/>
          <w:sz w:val="36"/>
          <w:szCs w:val="36"/>
          <w:highlight w:val="none"/>
          <w14:textFill>
            <w14:solidFill>
              <w14:schemeClr w14:val="tx1"/>
            </w14:solidFill>
          </w14:textFill>
        </w:rPr>
        <w:t>、供应商认为有必要补充说明的事宜</w:t>
      </w:r>
      <w:bookmarkEnd w:id="48"/>
      <w:bookmarkEnd w:id="49"/>
      <w:bookmarkEnd w:id="50"/>
    </w:p>
    <w:p w14:paraId="3B479DA1">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75D2A8A5">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16707C3C">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6A412C60">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65DF81A9">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2BA50520">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132FD02B">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2813B80D">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16A5B073">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1D5ABF0C">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79FC6B4D">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0CB31FE2">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2712EC9E">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6C9670CF">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4C1F8A2F">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386FBC17">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0E22E781">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0719C528">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4E4687C6">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1C148791">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56FE2A21">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42F6340A">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376F357D">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2F9A107B">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4B21E111">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56232E1E">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12D12C88">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312BB9CE">
      <w:pPr>
        <w:keepLines w:val="0"/>
        <w:pageBreakBefore w:val="0"/>
        <w:overflowPunct w:val="0"/>
        <w:topLinePunct w:val="0"/>
        <w:bidi w:val="0"/>
        <w:rPr>
          <w:rFonts w:hint="eastAsia" w:ascii="宋体" w:hAnsi="宋体" w:eastAsia="宋体" w:cs="宋体"/>
          <w:color w:val="000000" w:themeColor="text1"/>
          <w:highlight w:val="none"/>
          <w14:textFill>
            <w14:solidFill>
              <w14:schemeClr w14:val="tx1"/>
            </w14:solidFill>
          </w14:textFill>
        </w:rPr>
      </w:pPr>
    </w:p>
    <w:p w14:paraId="5DF2CD82">
      <w:pPr>
        <w:keepLines w:val="0"/>
        <w:pageBreakBefore w:val="0"/>
        <w:overflowPunct w:val="0"/>
        <w:topLinePunct w:val="0"/>
        <w:bidi w:val="0"/>
        <w:spacing w:line="560" w:lineRule="exact"/>
        <w:jc w:val="center"/>
        <w:outlineLvl w:val="0"/>
        <w:rPr>
          <w:rFonts w:hint="eastAsia" w:ascii="宋体" w:hAnsi="宋体" w:eastAsia="宋体" w:cs="宋体"/>
          <w:b/>
          <w:bCs/>
          <w:color w:val="000000" w:themeColor="text1"/>
          <w:sz w:val="36"/>
          <w:szCs w:val="36"/>
          <w:highlight w:val="none"/>
          <w14:textFill>
            <w14:solidFill>
              <w14:schemeClr w14:val="tx1"/>
            </w14:solidFill>
          </w14:textFill>
        </w:rPr>
      </w:pPr>
      <w:bookmarkStart w:id="51" w:name="_Toc22572"/>
      <w:bookmarkStart w:id="52" w:name="_Toc27"/>
      <w:r>
        <w:rPr>
          <w:rFonts w:hint="eastAsia" w:ascii="宋体" w:hAnsi="宋体" w:eastAsia="宋体" w:cs="宋体"/>
          <w:b/>
          <w:bCs/>
          <w:color w:val="000000" w:themeColor="text1"/>
          <w:sz w:val="36"/>
          <w:szCs w:val="36"/>
          <w:highlight w:val="none"/>
          <w14:textFill>
            <w14:solidFill>
              <w14:schemeClr w14:val="tx1"/>
            </w14:solidFill>
          </w14:textFill>
        </w:rPr>
        <w:br w:type="page"/>
      </w:r>
      <w:bookmarkStart w:id="53" w:name="_Toc25572"/>
      <w:r>
        <w:rPr>
          <w:rFonts w:hint="eastAsia" w:ascii="宋体" w:hAnsi="宋体" w:eastAsia="宋体" w:cs="宋体"/>
          <w:b/>
          <w:bCs/>
          <w:color w:val="000000" w:themeColor="text1"/>
          <w:sz w:val="36"/>
          <w:szCs w:val="36"/>
          <w:highlight w:val="none"/>
          <w:lang w:val="en-US" w:eastAsia="zh-CN"/>
          <w14:textFill>
            <w14:solidFill>
              <w14:schemeClr w14:val="tx1"/>
            </w14:solidFill>
          </w14:textFill>
        </w:rPr>
        <w:t>六</w:t>
      </w:r>
      <w:r>
        <w:rPr>
          <w:rFonts w:hint="eastAsia" w:ascii="宋体" w:hAnsi="宋体" w:eastAsia="宋体" w:cs="宋体"/>
          <w:b/>
          <w:bCs/>
          <w:color w:val="000000" w:themeColor="text1"/>
          <w:sz w:val="36"/>
          <w:szCs w:val="36"/>
          <w:highlight w:val="none"/>
          <w14:textFill>
            <w14:solidFill>
              <w14:schemeClr w14:val="tx1"/>
            </w14:solidFill>
          </w14:textFill>
        </w:rPr>
        <w:t>、《拒绝政府采购领域商业贿赂承诺书》</w:t>
      </w:r>
      <w:bookmarkEnd w:id="40"/>
      <w:bookmarkEnd w:id="41"/>
      <w:bookmarkEnd w:id="42"/>
      <w:bookmarkEnd w:id="43"/>
      <w:bookmarkEnd w:id="51"/>
      <w:bookmarkEnd w:id="52"/>
      <w:bookmarkEnd w:id="53"/>
    </w:p>
    <w:p w14:paraId="7E6ED583">
      <w:pPr>
        <w:keepLines w:val="0"/>
        <w:pageBreakBefore w:val="0"/>
        <w:widowControl/>
        <w:overflowPunct w:val="0"/>
        <w:topLinePunct w:val="0"/>
        <w:bidi w:val="0"/>
        <w:spacing w:line="480" w:lineRule="exact"/>
        <w:jc w:val="center"/>
        <w:rPr>
          <w:rFonts w:hint="eastAsia" w:ascii="宋体" w:hAnsi="宋体" w:eastAsia="宋体" w:cs="宋体"/>
          <w:b/>
          <w:bCs/>
          <w:color w:val="000000" w:themeColor="text1"/>
          <w:szCs w:val="21"/>
          <w:highlight w:val="none"/>
          <w14:textFill>
            <w14:solidFill>
              <w14:schemeClr w14:val="tx1"/>
            </w14:solidFill>
          </w14:textFill>
        </w:rPr>
      </w:pPr>
    </w:p>
    <w:p w14:paraId="66A52F22">
      <w:pPr>
        <w:keepLines w:val="0"/>
        <w:pageBreakBefore w:val="0"/>
        <w:widowControl/>
        <w:overflowPunct w:val="0"/>
        <w:topLinePunct w:val="0"/>
        <w:bidi w:val="0"/>
        <w:spacing w:line="480" w:lineRule="exact"/>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陕西省政府采购供应商拒绝政府采购领域商业贿赂承诺书</w:t>
      </w:r>
    </w:p>
    <w:p w14:paraId="5AE0B66D">
      <w:pPr>
        <w:keepLines w:val="0"/>
        <w:pageBreakBefore w:val="0"/>
        <w:widowControl/>
        <w:overflowPunct w:val="0"/>
        <w:topLinePunct w:val="0"/>
        <w:bidi w:val="0"/>
        <w:spacing w:line="240" w:lineRule="exact"/>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p>
    <w:p w14:paraId="6AE49544">
      <w:pPr>
        <w:keepLines w:val="0"/>
        <w:pageBreakBefore w:val="0"/>
        <w:widowControl/>
        <w:overflowPunct w:val="0"/>
        <w:topLinePunct w:val="0"/>
        <w:bidi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为响应党中央、国务院关于治理政府采购领域商业贿赂行为的号召，我单位在此庄严承诺： </w:t>
      </w:r>
    </w:p>
    <w:p w14:paraId="01E72D02">
      <w:pPr>
        <w:keepLines w:val="0"/>
        <w:pageBreakBefore w:val="0"/>
        <w:widowControl/>
        <w:overflowPunct w:val="0"/>
        <w:topLinePunct w:val="0"/>
        <w:bidi w:val="0"/>
        <w:spacing w:line="440" w:lineRule="exact"/>
        <w:ind w:left="420" w:leftChars="200" w:firstLine="0" w:firstLineChars="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1、在参与政府采购活动中遵纪守法、诚信经营、公平竞标。 </w:t>
      </w:r>
      <w:r>
        <w:rPr>
          <w:rFonts w:hint="eastAsia" w:ascii="宋体" w:hAnsi="宋体" w:eastAsia="宋体" w:cs="宋体"/>
          <w:color w:val="000000" w:themeColor="text1"/>
          <w:szCs w:val="21"/>
          <w:highlight w:val="none"/>
          <w14:textFill>
            <w14:solidFill>
              <w14:schemeClr w14:val="tx1"/>
            </w14:solidFill>
          </w14:textFill>
        </w:rPr>
        <w:br w:type="textWrapping"/>
      </w:r>
      <w:r>
        <w:rPr>
          <w:rFonts w:hint="eastAsia" w:ascii="宋体" w:hAnsi="宋体" w:eastAsia="宋体" w:cs="宋体"/>
          <w:color w:val="000000" w:themeColor="text1"/>
          <w:szCs w:val="21"/>
          <w:highlight w:val="none"/>
          <w14:textFill>
            <w14:solidFill>
              <w14:schemeClr w14:val="tx1"/>
            </w14:solidFill>
          </w14:textFill>
        </w:rPr>
        <w:t xml:space="preserve">2、不向采购人、采购代理机构和政府采购评审专家进行任何形式的商业贿赂以谋取交易机会。 </w:t>
      </w:r>
    </w:p>
    <w:p w14:paraId="77A793E1">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3、不向政府采购代理机构和采购人提供虚假资质文件或采用虚假应标方式参与政府采购市场竞争并谋取成交、成交。</w:t>
      </w:r>
    </w:p>
    <w:p w14:paraId="44DFB256">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4、不采取“围标、陪标”等商业欺诈手段获得政府采购定单。 </w:t>
      </w:r>
    </w:p>
    <w:p w14:paraId="7E87237E">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5、不采取不正当手段抵毁、排挤其他供应商。 </w:t>
      </w:r>
    </w:p>
    <w:p w14:paraId="620A3C30">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6、不在提供商品和服务时“偷梁换柱、以次充好”损害采购人的合法权益。</w:t>
      </w:r>
    </w:p>
    <w:p w14:paraId="04B84364">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7、不与采购人、采购代理机构政府采购评审专家或其它供应商恶意串通，进行质疑和投诉，维护政府采购市场秩序。 </w:t>
      </w:r>
    </w:p>
    <w:p w14:paraId="09590B80">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8、尊重和接受政府采购监督管理部门的监督和政府采购代理机构采购要求，承担因违约行为给采购人造成的损失。 </w:t>
      </w:r>
    </w:p>
    <w:p w14:paraId="3573C7F4">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9、不发生其他有悖于政府采购公开、公平、公正和诚信原则的行为。 </w:t>
      </w:r>
      <w:r>
        <w:rPr>
          <w:rFonts w:hint="eastAsia" w:ascii="宋体" w:hAnsi="宋体" w:eastAsia="宋体" w:cs="宋体"/>
          <w:color w:val="000000" w:themeColor="text1"/>
          <w:szCs w:val="21"/>
          <w:highlight w:val="none"/>
          <w14:textFill>
            <w14:solidFill>
              <w14:schemeClr w14:val="tx1"/>
            </w14:solidFill>
          </w14:textFill>
        </w:rPr>
        <w:br w:type="textWrapping"/>
      </w:r>
      <w:r>
        <w:rPr>
          <w:rFonts w:hint="eastAsia" w:ascii="宋体" w:hAnsi="宋体" w:eastAsia="宋体" w:cs="宋体"/>
          <w:color w:val="000000" w:themeColor="text1"/>
          <w:szCs w:val="21"/>
          <w:highlight w:val="none"/>
          <w14:textFill>
            <w14:solidFill>
              <w14:schemeClr w14:val="tx1"/>
            </w14:solidFill>
          </w14:textFill>
        </w:rPr>
        <w:t xml:space="preserve">   </w:t>
      </w:r>
    </w:p>
    <w:p w14:paraId="1AAF864D">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承诺单位：</w:t>
      </w:r>
      <w:r>
        <w:rPr>
          <w:rFonts w:hint="eastAsia" w:ascii="宋体" w:hAnsi="宋体" w:eastAsia="宋体" w:cs="宋体"/>
          <w:color w:val="000000" w:themeColor="text1"/>
          <w:szCs w:val="21"/>
          <w:highlight w:val="none"/>
          <w:u w:val="single"/>
          <w14:textFill>
            <w14:solidFill>
              <w14:schemeClr w14:val="tx1"/>
            </w14:solidFill>
          </w14:textFill>
        </w:rPr>
        <w:t>　　                         　</w:t>
      </w:r>
      <w:r>
        <w:rPr>
          <w:rFonts w:hint="eastAsia" w:ascii="宋体" w:hAnsi="宋体" w:eastAsia="宋体" w:cs="宋体"/>
          <w:color w:val="000000" w:themeColor="text1"/>
          <w:szCs w:val="21"/>
          <w:highlight w:val="none"/>
          <w14:textFill>
            <w14:solidFill>
              <w14:schemeClr w14:val="tx1"/>
            </w14:solidFill>
          </w14:textFill>
        </w:rPr>
        <w:t>（盖章）</w:t>
      </w:r>
    </w:p>
    <w:p w14:paraId="5ECFF7D4">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全权代表：</w:t>
      </w:r>
      <w:r>
        <w:rPr>
          <w:rFonts w:hint="eastAsia" w:ascii="宋体" w:hAnsi="宋体" w:eastAsia="宋体" w:cs="宋体"/>
          <w:color w:val="000000" w:themeColor="text1"/>
          <w:szCs w:val="21"/>
          <w:highlight w:val="none"/>
          <w:u w:val="single"/>
          <w14:textFill>
            <w14:solidFill>
              <w14:schemeClr w14:val="tx1"/>
            </w14:solidFill>
          </w14:textFill>
        </w:rPr>
        <w:t>　　　　　     　        　　　</w:t>
      </w:r>
      <w:r>
        <w:rPr>
          <w:rFonts w:hint="eastAsia" w:ascii="宋体" w:hAnsi="宋体" w:eastAsia="宋体" w:cs="宋体"/>
          <w:color w:val="000000" w:themeColor="text1"/>
          <w:szCs w:val="21"/>
          <w:highlight w:val="none"/>
          <w14:textFill>
            <w14:solidFill>
              <w14:schemeClr w14:val="tx1"/>
            </w14:solidFill>
          </w14:textFill>
        </w:rPr>
        <w:t>（签字）</w:t>
      </w:r>
    </w:p>
    <w:p w14:paraId="3E897296">
      <w:pPr>
        <w:keepLines w:val="0"/>
        <w:pageBreakBefore w:val="0"/>
        <w:widowControl/>
        <w:overflowPunct w:val="0"/>
        <w:topLinePunct w:val="0"/>
        <w:bidi w:val="0"/>
        <w:spacing w:line="520" w:lineRule="exact"/>
        <w:ind w:firstLine="420"/>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　　址：</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6189179D">
      <w:pPr>
        <w:keepLines w:val="0"/>
        <w:pageBreakBefore w:val="0"/>
        <w:widowControl/>
        <w:overflowPunct w:val="0"/>
        <w:topLinePunct w:val="0"/>
        <w:bidi w:val="0"/>
        <w:spacing w:line="520" w:lineRule="exac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邮    编：</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3B73188A">
      <w:pPr>
        <w:keepLines w:val="0"/>
        <w:pageBreakBefore w:val="0"/>
        <w:widowControl/>
        <w:overflowPunct w:val="0"/>
        <w:topLinePunct w:val="0"/>
        <w:bidi w:val="0"/>
        <w:spacing w:line="5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电　　话：</w:t>
      </w:r>
      <w:r>
        <w:rPr>
          <w:rFonts w:hint="eastAsia" w:ascii="宋体" w:hAnsi="宋体" w:eastAsia="宋体" w:cs="宋体"/>
          <w:color w:val="000000" w:themeColor="text1"/>
          <w:szCs w:val="21"/>
          <w:highlight w:val="none"/>
          <w:u w:val="single"/>
          <w14:textFill>
            <w14:solidFill>
              <w14:schemeClr w14:val="tx1"/>
            </w14:solidFill>
          </w14:textFill>
        </w:rPr>
        <w:t>　　　                　　 　　</w:t>
      </w:r>
    </w:p>
    <w:p w14:paraId="57818BE0">
      <w:pPr>
        <w:keepLines w:val="0"/>
        <w:pageBreakBefore w:val="0"/>
        <w:widowControl/>
        <w:overflowPunct w:val="0"/>
        <w:topLinePunct w:val="0"/>
        <w:bidi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p>
    <w:p w14:paraId="1666A990">
      <w:pPr>
        <w:keepLines w:val="0"/>
        <w:pageBreakBefore w:val="0"/>
        <w:overflowPunct w:val="0"/>
        <w:topLinePunct w:val="0"/>
        <w:bidi w:val="0"/>
        <w:spacing w:line="340" w:lineRule="exact"/>
        <w:ind w:firstLine="4305" w:firstLineChars="205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w:t>
      </w:r>
      <w:bookmarkEnd w:id="44"/>
      <w:bookmarkEnd w:id="45"/>
    </w:p>
    <w:p w14:paraId="38BF5B13">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5ADB7771">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21650F08">
      <w:pPr>
        <w:pStyle w:val="8"/>
        <w:keepLines w:val="0"/>
        <w:pageBreakBefore w:val="0"/>
        <w:overflowPunct w:val="0"/>
        <w:topLinePunct w:val="0"/>
        <w:bidi w:val="0"/>
        <w:spacing w:line="440" w:lineRule="exact"/>
        <w:ind w:firstLine="0"/>
        <w:rPr>
          <w:rFonts w:hint="eastAsia" w:ascii="宋体" w:hAnsi="宋体" w:eastAsia="宋体" w:cs="宋体"/>
          <w:color w:val="000000" w:themeColor="text1"/>
          <w:sz w:val="28"/>
          <w:szCs w:val="28"/>
          <w:highlight w:val="none"/>
          <w14:textFill>
            <w14:solidFill>
              <w14:schemeClr w14:val="tx1"/>
            </w14:solidFill>
          </w14:textFill>
        </w:rPr>
      </w:pPr>
    </w:p>
    <w:p w14:paraId="73EA63FF">
      <w:pPr>
        <w:keepLines w:val="0"/>
        <w:pageBreakBefore w:val="0"/>
        <w:overflowPunct w:val="0"/>
        <w:topLinePunct w:val="0"/>
        <w:bidi w:val="0"/>
        <w:spacing w:before="120" w:beforeLines="50" w:line="440" w:lineRule="exact"/>
        <w:jc w:val="left"/>
        <w:rPr>
          <w:rFonts w:hint="eastAsia" w:ascii="宋体" w:hAnsi="宋体" w:eastAsia="宋体" w:cs="宋体"/>
          <w:b/>
          <w:color w:val="000000" w:themeColor="text1"/>
          <w:szCs w:val="21"/>
          <w:highlight w:val="none"/>
          <w14:textFill>
            <w14:solidFill>
              <w14:schemeClr w14:val="tx1"/>
            </w14:solidFill>
          </w14:textFill>
        </w:rPr>
      </w:pPr>
    </w:p>
    <w:p w14:paraId="38B86A36">
      <w:pPr>
        <w:keepLines w:val="0"/>
        <w:pageBreakBefore w:val="0"/>
        <w:overflowPunct w:val="0"/>
        <w:topLinePunct w:val="0"/>
        <w:bidi w:val="0"/>
        <w:spacing w:before="120" w:beforeLines="50" w:after="120" w:afterLines="50" w:line="480" w:lineRule="exact"/>
        <w:ind w:firstLine="422" w:firstLineChars="200"/>
        <w:rPr>
          <w:rFonts w:hint="eastAsia" w:ascii="宋体" w:hAnsi="宋体" w:eastAsia="宋体" w:cs="宋体"/>
          <w:b/>
          <w:color w:val="000000" w:themeColor="text1"/>
          <w:szCs w:val="21"/>
          <w:highlight w:val="none"/>
          <w:lang w:val="en-US" w:eastAsia="zh-CN"/>
          <w14:textFill>
            <w14:solidFill>
              <w14:schemeClr w14:val="tx1"/>
            </w14:solidFill>
          </w14:textFill>
        </w:rPr>
      </w:pPr>
    </w:p>
    <w:sectPr>
      <w:footnotePr>
        <w:numFmt w:val="decimalEnclosedCircleChinese"/>
        <w:numRestart w:val="eachPage"/>
      </w:footnotePr>
      <w:pgSz w:w="11907" w:h="16840"/>
      <w:pgMar w:top="1440" w:right="1361" w:bottom="1440" w:left="1361" w:header="720" w:footer="624" w:gutter="0"/>
      <w:pgBorders>
        <w:top w:val="none" w:sz="0" w:space="0"/>
        <w:left w:val="none" w:sz="0" w:space="0"/>
        <w:bottom w:val="none" w:sz="0" w:space="0"/>
        <w:right w:val="none" w:sz="0" w:space="0"/>
      </w:pgBorders>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altName w:val="宋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6693F">
    <w:pPr>
      <w:pStyle w:val="2"/>
      <w:ind w:right="720"/>
      <w:rPr>
        <w:rFonts w:hint="eastAsia" w:ascii="宋体" w:hAnsi="宋体"/>
        <w:b/>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8ADE3">
    <w:pPr>
      <w:pStyle w:val="2"/>
      <w:ind w:right="720"/>
      <w:rPr>
        <w:rFonts w:hint="eastAsia" w:ascii="宋体" w:hAnsi="宋体"/>
        <w:b/>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73ED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52C73ED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D2846">
    <w:pPr>
      <w:pStyle w:val="2"/>
      <w:ind w:right="720"/>
      <w:rPr>
        <w:rFonts w:hint="eastAsia" w:ascii="宋体" w:hAnsi="宋体"/>
        <w:b/>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56965">
                          <w:pPr>
                            <w:pStyle w:val="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6B256965">
                    <w:pPr>
                      <w:pStyle w:val="2"/>
                    </w:pPr>
                    <w:r>
                      <w:fldChar w:fldCharType="begin"/>
                    </w:r>
                    <w:r>
                      <w:instrText xml:space="preserve"> PAGE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4618CA"/>
    <w:multiLevelType w:val="singleLevel"/>
    <w:tmpl w:val="D24618CA"/>
    <w:lvl w:ilvl="0" w:tentative="0">
      <w:start w:val="2"/>
      <w:numFmt w:val="decimal"/>
      <w:suff w:val="nothing"/>
      <w:lvlText w:val="%1、"/>
      <w:lvlJc w:val="left"/>
    </w:lvl>
  </w:abstractNum>
  <w:abstractNum w:abstractNumId="1">
    <w:nsid w:val="00000008"/>
    <w:multiLevelType w:val="singleLevel"/>
    <w:tmpl w:val="00000008"/>
    <w:lvl w:ilvl="0" w:tentative="0">
      <w:start w:val="1"/>
      <w:numFmt w:val="upperLetter"/>
      <w:pStyle w:val="4"/>
      <w:lvlText w:val="%1、"/>
      <w:lvlJc w:val="left"/>
      <w:pPr>
        <w:tabs>
          <w:tab w:val="left" w:pos="960"/>
        </w:tabs>
        <w:ind w:left="960" w:hanging="324"/>
      </w:pPr>
      <w:rPr>
        <w:rFonts w:hint="eastAsia"/>
      </w:rPr>
    </w:lvl>
  </w:abstractNum>
  <w:abstractNum w:abstractNumId="2">
    <w:nsid w:val="0000000A"/>
    <w:multiLevelType w:val="singleLevel"/>
    <w:tmpl w:val="0000000A"/>
    <w:lvl w:ilvl="0" w:tentative="0">
      <w:start w:val="1"/>
      <w:numFmt w:val="upperLetter"/>
      <w:pStyle w:val="3"/>
      <w:lvlText w:val="%1．"/>
      <w:lvlJc w:val="left"/>
      <w:pPr>
        <w:tabs>
          <w:tab w:val="left" w:pos="324"/>
        </w:tabs>
        <w:ind w:left="324" w:hanging="324"/>
      </w:pPr>
      <w:rPr>
        <w:rFonts w:hint="eastAsia"/>
      </w:rPr>
    </w:lvl>
  </w:abstractNum>
  <w:abstractNum w:abstractNumId="3">
    <w:nsid w:val="0000000D"/>
    <w:multiLevelType w:val="singleLevel"/>
    <w:tmpl w:val="0000000D"/>
    <w:lvl w:ilvl="0" w:tentative="0">
      <w:start w:val="1"/>
      <w:numFmt w:val="upperLetter"/>
      <w:pStyle w:val="5"/>
      <w:lvlText w:val="%1、"/>
      <w:lvlJc w:val="left"/>
      <w:pPr>
        <w:tabs>
          <w:tab w:val="left" w:pos="960"/>
        </w:tabs>
        <w:ind w:left="960" w:hanging="324"/>
      </w:pPr>
      <w:rPr>
        <w:rFonts w:hint="eastAsia"/>
      </w:rPr>
    </w:lvl>
  </w:abstractNum>
  <w:abstractNum w:abstractNumId="4">
    <w:nsid w:val="00000013"/>
    <w:multiLevelType w:val="multilevel"/>
    <w:tmpl w:val="00000013"/>
    <w:lvl w:ilvl="0" w:tentative="0">
      <w:start w:val="2"/>
      <w:numFmt w:val="upperLetter"/>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1CB7740"/>
    <w:multiLevelType w:val="singleLevel"/>
    <w:tmpl w:val="21CB7740"/>
    <w:lvl w:ilvl="0" w:tentative="0">
      <w:start w:val="1"/>
      <w:numFmt w:val="chineseCounting"/>
      <w:suff w:val="nothing"/>
      <w:lvlText w:val="%1、"/>
      <w:lvlJc w:val="left"/>
      <w:pPr>
        <w:ind w:left="-62"/>
      </w:pPr>
      <w:rPr>
        <w:rFonts w:hint="eastAsia"/>
      </w:rPr>
    </w:lvl>
  </w:abstractNum>
  <w:abstractNum w:abstractNumId="6">
    <w:nsid w:val="26E03666"/>
    <w:multiLevelType w:val="singleLevel"/>
    <w:tmpl w:val="26E03666"/>
    <w:lvl w:ilvl="0" w:tentative="0">
      <w:start w:val="1"/>
      <w:numFmt w:val="decimal"/>
      <w:suff w:val="nothing"/>
      <w:lvlText w:val="%1、"/>
      <w:lvlJc w:val="left"/>
    </w:lvl>
  </w:abstractNum>
  <w:abstractNum w:abstractNumId="7">
    <w:nsid w:val="58DB60FA"/>
    <w:multiLevelType w:val="singleLevel"/>
    <w:tmpl w:val="58DB60FA"/>
    <w:lvl w:ilvl="0" w:tentative="0">
      <w:start w:val="2"/>
      <w:numFmt w:val="decimal"/>
      <w:suff w:val="nothing"/>
      <w:lvlText w:val="%1、"/>
      <w:lvlJc w:val="left"/>
    </w:lvl>
  </w:abstractNum>
  <w:abstractNum w:abstractNumId="8">
    <w:nsid w:val="58DB640F"/>
    <w:multiLevelType w:val="singleLevel"/>
    <w:tmpl w:val="58DB640F"/>
    <w:lvl w:ilvl="0" w:tentative="0">
      <w:start w:val="2"/>
      <w:numFmt w:val="decimal"/>
      <w:suff w:val="nothing"/>
      <w:lvlText w:val="%1、"/>
      <w:lvlJc w:val="left"/>
    </w:lvl>
  </w:abstractNum>
  <w:abstractNum w:abstractNumId="9">
    <w:nsid w:val="5928EB85"/>
    <w:multiLevelType w:val="singleLevel"/>
    <w:tmpl w:val="5928EB85"/>
    <w:lvl w:ilvl="0" w:tentative="0">
      <w:start w:val="1"/>
      <w:numFmt w:val="decimal"/>
      <w:suff w:val="nothing"/>
      <w:lvlText w:val="（%1）"/>
      <w:lvlJc w:val="left"/>
    </w:lvl>
  </w:abstractNum>
  <w:num w:numId="1">
    <w:abstractNumId w:val="2"/>
  </w:num>
  <w:num w:numId="2">
    <w:abstractNumId w:val="1"/>
  </w:num>
  <w:num w:numId="3">
    <w:abstractNumId w:val="3"/>
  </w:num>
  <w:num w:numId="4">
    <w:abstractNumId w:val="4"/>
  </w:num>
  <w:num w:numId="5">
    <w:abstractNumId w:val="9"/>
  </w:num>
  <w:num w:numId="6">
    <w:abstractNumId w:val="6"/>
  </w:num>
  <w:num w:numId="7">
    <w:abstractNumId w:val="0"/>
  </w:num>
  <w:num w:numId="8">
    <w:abstractNumId w:val="5"/>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wMDA1MTEwYzM0ODBmYWFjMjA2ZjY1OGVjNGYyYzUifQ=="/>
  </w:docVars>
  <w:rsids>
    <w:rsidRoot w:val="77CC141A"/>
    <w:rsid w:val="0BE720B5"/>
    <w:rsid w:val="10A54B0F"/>
    <w:rsid w:val="13BB6D1C"/>
    <w:rsid w:val="17E5418A"/>
    <w:rsid w:val="19E020D4"/>
    <w:rsid w:val="1AA1143A"/>
    <w:rsid w:val="1F6E1D2B"/>
    <w:rsid w:val="228757E3"/>
    <w:rsid w:val="24E707FF"/>
    <w:rsid w:val="2B613C8B"/>
    <w:rsid w:val="2BAD01D4"/>
    <w:rsid w:val="2EFF3921"/>
    <w:rsid w:val="3CDB3E69"/>
    <w:rsid w:val="44CD0A66"/>
    <w:rsid w:val="44DE22DE"/>
    <w:rsid w:val="4E342002"/>
    <w:rsid w:val="4F607E8C"/>
    <w:rsid w:val="50D92EAE"/>
    <w:rsid w:val="51ED63C4"/>
    <w:rsid w:val="523C53F3"/>
    <w:rsid w:val="54994D7E"/>
    <w:rsid w:val="562F0897"/>
    <w:rsid w:val="5ACE3307"/>
    <w:rsid w:val="5B5778C4"/>
    <w:rsid w:val="63A356E4"/>
    <w:rsid w:val="67111C8A"/>
    <w:rsid w:val="6790554A"/>
    <w:rsid w:val="6A1F017B"/>
    <w:rsid w:val="6A7A5BD0"/>
    <w:rsid w:val="6CCB3AEB"/>
    <w:rsid w:val="6F2F2562"/>
    <w:rsid w:val="703F095A"/>
    <w:rsid w:val="77CC1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jc w:val="center"/>
      <w:outlineLvl w:val="0"/>
    </w:pPr>
    <w:rPr>
      <w:rFonts w:ascii="黑体" w:eastAsia="黑体"/>
      <w:sz w:val="30"/>
      <w:szCs w:val="20"/>
    </w:rPr>
  </w:style>
  <w:style w:type="paragraph" w:styleId="4">
    <w:name w:val="heading 2"/>
    <w:basedOn w:val="1"/>
    <w:next w:val="1"/>
    <w:qFormat/>
    <w:uiPriority w:val="0"/>
    <w:pPr>
      <w:keepNext/>
      <w:numPr>
        <w:ilvl w:val="0"/>
        <w:numId w:val="2"/>
      </w:numPr>
      <w:jc w:val="center"/>
      <w:outlineLvl w:val="1"/>
    </w:pPr>
    <w:rPr>
      <w:rFonts w:ascii="黑体" w:eastAsia="黑体"/>
      <w:color w:val="000000"/>
      <w:sz w:val="28"/>
      <w:szCs w:val="20"/>
    </w:rPr>
  </w:style>
  <w:style w:type="paragraph" w:styleId="5">
    <w:name w:val="heading 3"/>
    <w:basedOn w:val="1"/>
    <w:next w:val="1"/>
    <w:qFormat/>
    <w:uiPriority w:val="0"/>
    <w:pPr>
      <w:keepNext/>
      <w:numPr>
        <w:ilvl w:val="0"/>
        <w:numId w:val="3"/>
      </w:numPr>
      <w:jc w:val="center"/>
      <w:outlineLvl w:val="2"/>
    </w:pPr>
    <w:rPr>
      <w:rFonts w:ascii="黑体" w:eastAsia="黑体"/>
      <w:color w:val="000000"/>
      <w:sz w:val="32"/>
      <w:szCs w:val="20"/>
    </w:rPr>
  </w:style>
  <w:style w:type="paragraph" w:styleId="6">
    <w:name w:val="heading 4"/>
    <w:basedOn w:val="1"/>
    <w:next w:val="1"/>
    <w:qFormat/>
    <w:uiPriority w:val="0"/>
    <w:pPr>
      <w:keepNext/>
      <w:numPr>
        <w:ilvl w:val="0"/>
        <w:numId w:val="4"/>
      </w:numPr>
      <w:tabs>
        <w:tab w:val="left" w:pos="2715"/>
        <w:tab w:val="clear" w:pos="720"/>
      </w:tabs>
      <w:autoSpaceDE w:val="0"/>
      <w:autoSpaceDN w:val="0"/>
      <w:adjustRightInd w:val="0"/>
      <w:jc w:val="center"/>
      <w:outlineLvl w:val="3"/>
    </w:pPr>
    <w:rPr>
      <w:rFonts w:ascii="方正姚体" w:eastAsia="方正姚体"/>
      <w:sz w:val="36"/>
      <w:szCs w:val="32"/>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20"/>
    </w:rPr>
  </w:style>
  <w:style w:type="paragraph" w:styleId="8">
    <w:name w:val="Normal Indent"/>
    <w:basedOn w:val="1"/>
    <w:qFormat/>
    <w:uiPriority w:val="0"/>
    <w:pPr>
      <w:ind w:firstLine="420"/>
    </w:pPr>
    <w:rPr>
      <w:szCs w:val="20"/>
    </w:rPr>
  </w:style>
  <w:style w:type="paragraph" w:styleId="9">
    <w:name w:val="toa heading"/>
    <w:basedOn w:val="1"/>
    <w:next w:val="1"/>
    <w:qFormat/>
    <w:uiPriority w:val="0"/>
    <w:rPr>
      <w:rFonts w:ascii="Arial" w:hAnsi="Arial"/>
      <w:sz w:val="24"/>
    </w:rPr>
  </w:style>
  <w:style w:type="paragraph" w:styleId="10">
    <w:name w:val="Body Text"/>
    <w:basedOn w:val="1"/>
    <w:next w:val="1"/>
    <w:qFormat/>
    <w:uiPriority w:val="0"/>
    <w:pPr>
      <w:ind w:right="-84" w:rightChars="-40"/>
      <w:jc w:val="center"/>
    </w:pPr>
  </w:style>
  <w:style w:type="paragraph" w:styleId="11">
    <w:name w:val="Body Text Indent"/>
    <w:basedOn w:val="1"/>
    <w:unhideWhenUsed/>
    <w:qFormat/>
    <w:uiPriority w:val="99"/>
    <w:pPr>
      <w:spacing w:after="120"/>
      <w:ind w:left="420" w:leftChars="200"/>
    </w:pPr>
  </w:style>
  <w:style w:type="paragraph" w:styleId="12">
    <w:name w:val="Plain Text"/>
    <w:basedOn w:val="1"/>
    <w:qFormat/>
    <w:uiPriority w:val="0"/>
    <w:rPr>
      <w:rFonts w:ascii="宋体" w:hAnsi="Courier New" w:cs="黑体"/>
      <w:kern w:val="0"/>
      <w:szCs w:val="21"/>
    </w:rPr>
  </w:style>
  <w:style w:type="paragraph" w:styleId="13">
    <w:name w:val="Body Text Indent 2"/>
    <w:basedOn w:val="1"/>
    <w:qFormat/>
    <w:uiPriority w:val="0"/>
    <w:pPr>
      <w:spacing w:line="360" w:lineRule="auto"/>
      <w:ind w:firstLine="480"/>
    </w:pPr>
    <w:rPr>
      <w:rFonts w:ascii="宋体" w:hAnsi="宋体"/>
      <w:szCs w:val="21"/>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qFormat/>
    <w:uiPriority w:val="0"/>
  </w:style>
  <w:style w:type="paragraph" w:styleId="16">
    <w:name w:val="toc 2"/>
    <w:basedOn w:val="1"/>
    <w:next w:val="1"/>
    <w:qFormat/>
    <w:uiPriority w:val="39"/>
    <w:pPr>
      <w:ind w:left="420" w:leftChars="200"/>
    </w:pPr>
  </w:style>
  <w:style w:type="paragraph" w:styleId="17">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18">
    <w:name w:val="Body Text First Indent"/>
    <w:basedOn w:val="10"/>
    <w:next w:val="19"/>
    <w:qFormat/>
    <w:uiPriority w:val="0"/>
    <w:pPr>
      <w:spacing w:after="120" w:afterLines="0"/>
      <w:ind w:right="0" w:rightChars="0" w:firstLine="420" w:firstLineChars="100"/>
      <w:jc w:val="both"/>
    </w:pPr>
    <w:rPr>
      <w:szCs w:val="20"/>
    </w:rPr>
  </w:style>
  <w:style w:type="paragraph" w:styleId="19">
    <w:name w:val="Body Text First Indent 2"/>
    <w:basedOn w:val="11"/>
    <w:unhideWhenUsed/>
    <w:qFormat/>
    <w:uiPriority w:val="99"/>
    <w:pPr>
      <w:autoSpaceDE w:val="0"/>
      <w:autoSpaceDN w:val="0"/>
      <w:ind w:firstLine="420" w:firstLineChars="200"/>
    </w:pPr>
    <w:rPr>
      <w:rFonts w:ascii="宋体" w:hAnsi="宋体" w:cs="宋体"/>
      <w:szCs w:val="21"/>
    </w:rPr>
  </w:style>
  <w:style w:type="character" w:styleId="22">
    <w:name w:val="Strong"/>
    <w:basedOn w:val="21"/>
    <w:qFormat/>
    <w:uiPriority w:val="0"/>
    <w:rPr>
      <w:b/>
    </w:rPr>
  </w:style>
  <w:style w:type="paragraph" w:customStyle="1" w:styleId="23">
    <w:name w:val="null3"/>
    <w:qFormat/>
    <w:uiPriority w:val="0"/>
    <w:rPr>
      <w:rFonts w:hint="eastAsia" w:ascii="Calibri" w:hAnsi="Calibri" w:eastAsia="宋体" w:cs="Times New Roman"/>
      <w:lang w:val="en-US" w:eastAsia="zh-Hans"/>
    </w:rPr>
  </w:style>
  <w:style w:type="paragraph" w:customStyle="1" w:styleId="24">
    <w:name w:val="目录"/>
    <w:basedOn w:val="1"/>
    <w:qFormat/>
    <w:uiPriority w:val="0"/>
    <w:pPr>
      <w:widowControl/>
      <w:jc w:val="center"/>
    </w:pPr>
    <w:rPr>
      <w:rFonts w:hAnsi="Times New Roman"/>
      <w:b/>
      <w:sz w:val="36"/>
    </w:rPr>
  </w:style>
  <w:style w:type="paragraph" w:customStyle="1" w:styleId="25">
    <w:name w:val="Char1"/>
    <w:basedOn w:val="1"/>
    <w:qFormat/>
    <w:uiPriority w:val="0"/>
    <w:rPr>
      <w:rFonts w:ascii="仿宋_GB2312" w:eastAsia="仿宋_GB2312"/>
      <w:b/>
      <w:sz w:val="32"/>
      <w:szCs w:val="32"/>
    </w:rPr>
  </w:style>
  <w:style w:type="paragraph" w:customStyle="1" w:styleId="26">
    <w:name w:val="正文缩进1"/>
    <w:basedOn w:val="1"/>
    <w:qFormat/>
    <w:uiPriority w:val="0"/>
    <w:pPr>
      <w:ind w:firstLine="420"/>
    </w:pPr>
    <w:rPr>
      <w:rFonts w:ascii="Times New Roman" w:hAnsi="Times New Roman"/>
    </w:rPr>
  </w:style>
  <w:style w:type="table" w:customStyle="1" w:styleId="2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33992</Words>
  <Characters>35807</Characters>
  <Lines>0</Lines>
  <Paragraphs>0</Paragraphs>
  <TotalTime>298</TotalTime>
  <ScaleCrop>false</ScaleCrop>
  <LinksUpToDate>false</LinksUpToDate>
  <CharactersWithSpaces>41929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2024-12-17T12:39:00Z</dcterms:created>
  <dc:creator>mm</dc:creator>
  <cp:lastModifiedBy>old     wang</cp:lastModifiedBy>
  <cp:lastPrinted>2026-10-15T02:13:00Z</cp:lastPrinted>
  <dcterms:modified xsi:type="dcterms:W3CDTF">2026-10-22T06:23:51Z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3EF799A6781A4D60B0C0346DDD00FEFC_13</vt:lpwstr>
  </property>
  <property fmtid="{D5CDD505-2E9C-101B-9397-08002B2CF9AE}" pid="4" name="KSOTemplateDocerSaveRecord">
    <vt:lpwstr>eyJoZGlkIjoiNzIxNTgyNmFhZDRiNWI4MDI4ZGJkOWFiM2Q0YjljMjEiLCJ1c2VySWQiOiIxMTUyMzE3NTk1In0=</vt:lpwstr>
  </property>
</Properties>
</file>