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版本号：SXBX-ZFCG-20261620260531001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桑溪镇小型体育公园建设项目-土建部分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SXBX-ZFCG-202616</w:t>
      </w:r>
      <w:r>
        <w:br/>
      </w:r>
      <w:r>
        <w:br/>
      </w:r>
      <w:r>
        <w:br/>
      </w:r>
    </w:p>
    <w:p>
      <w:pPr>
        <w:pStyle w:val="null3"/>
        <w:jc w:val="center"/>
        <w:outlineLvl w:val="2"/>
      </w:pPr>
      <w:r>
        <w:rPr>
          <w:rFonts w:ascii="仿宋_GB2312" w:hAnsi="仿宋_GB2312" w:cs="仿宋_GB2312" w:eastAsia="仿宋_GB2312"/>
          <w:sz w:val="28"/>
          <w:b/>
        </w:rPr>
        <w:t>洋县桑溪镇人民政府</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洋县桑溪镇人民政府</w:t>
      </w:r>
      <w:r>
        <w:rPr>
          <w:rFonts w:ascii="仿宋_GB2312" w:hAnsi="仿宋_GB2312" w:cs="仿宋_GB2312" w:eastAsia="仿宋_GB2312"/>
        </w:rPr>
        <w:t>委托，拟对</w:t>
      </w:r>
      <w:r>
        <w:rPr>
          <w:rFonts w:ascii="仿宋_GB2312" w:hAnsi="仿宋_GB2312" w:cs="仿宋_GB2312" w:eastAsia="仿宋_GB2312"/>
        </w:rPr>
        <w:t>桑溪镇小型体育公园建设项目-土建部分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桑溪镇小型体育公园建设项目-土建部分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名称：桑溪镇小型体育公园建设项目；建设内容：新建篮球场一处共420平方米；排球场一处共72平方米；羽毛球场两处共163.4平方米；乒乓球场一处共96平方米，设球台6张；健身步道长800米，宽1.5米；室外健身小广场一处，设儿童活动场地，共120平方米；并配套照明、监控，绿化等基础设施；工期：120日历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采购包1（桑溪镇小型体育公园建设项目-土建部分）：属于专门面向中小企业采购。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3、企业资质要求：供应商应具备建设行政主管部门核发的市政公用工程施工总承包三级（含三级）及其以上资质，且具有有效的安全生产许可证；</w:t>
      </w:r>
    </w:p>
    <w:p>
      <w:pPr>
        <w:pStyle w:val="null3"/>
      </w:pPr>
      <w:r>
        <w:rPr>
          <w:rFonts w:ascii="仿宋_GB2312" w:hAnsi="仿宋_GB2312" w:cs="仿宋_GB2312" w:eastAsia="仿宋_GB2312"/>
        </w:rPr>
        <w:t>4、拟派项目负责人资质：拟派往本项目的项目负责人应具备市政公用工程专业二级（含二级）及以上注册建造师资格、具有有效的安全考核合格证（建安B证），无在建工程；</w:t>
      </w:r>
    </w:p>
    <w:p>
      <w:pPr>
        <w:pStyle w:val="null3"/>
      </w:pPr>
      <w:r>
        <w:rPr>
          <w:rFonts w:ascii="仿宋_GB2312" w:hAnsi="仿宋_GB2312" w:cs="仿宋_GB2312" w:eastAsia="仿宋_GB2312"/>
        </w:rPr>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6、无关联关系：单位负责人为同一人或者存在控股、管理关系的不同单位不得同时参加，需提供书面声明；</w:t>
      </w:r>
    </w:p>
    <w:p>
      <w:pPr>
        <w:pStyle w:val="null3"/>
      </w:pPr>
      <w:r>
        <w:rPr>
          <w:rFonts w:ascii="仿宋_GB2312" w:hAnsi="仿宋_GB2312" w:cs="仿宋_GB2312" w:eastAsia="仿宋_GB2312"/>
        </w:rPr>
        <w:t>7、非联合体声明：本项目不接受联合体投标，供应商需提供非联合体书面声明。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洋县桑溪镇人民政府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陕西省汉中市洋县桑溪镇桑溪街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0916-8311024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0916-8211122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采购包1：1,512,279.50元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洋县桑溪镇人民政府</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洋县桑溪镇人民政府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洋县桑溪镇人民政府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交付竣工验收的工程，必须符合规定的工程质量标准， 有完整的工程技术经济资料和经签著的工程保修书， 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联系电话：0916-8211122</w:t>
      </w:r>
    </w:p>
    <w:p>
      <w:pPr>
        <w:pStyle w:val="null3"/>
      </w:pPr>
      <w:r>
        <w:rPr>
          <w:rFonts w:ascii="仿宋_GB2312" w:hAnsi="仿宋_GB2312" w:cs="仿宋_GB2312" w:eastAsia="仿宋_GB2312"/>
        </w:rPr>
        <w:t>地址：陕西省汉中市洋县云江月酒店向东30米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1,512,279.50</w:t>
      </w:r>
    </w:p>
    <w:p>
      <w:pPr>
        <w:pStyle w:val="null3"/>
      </w:pPr>
      <w:r>
        <w:rPr>
          <w:rFonts w:ascii="仿宋_GB2312" w:hAnsi="仿宋_GB2312" w:cs="仿宋_GB2312" w:eastAsia="仿宋_GB2312"/>
        </w:rPr>
        <w:t>采购包最高限价（元）: 1,490,533.17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桑溪镇小型体育公园建设项目-土建部分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1,512,279.50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标的名称：桑溪镇小型体育公园建设项目-土建部分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项目名称：</w:t>
            </w:r>
            <w:r>
              <w:rPr>
                <w:rFonts w:ascii="仿宋_GB2312" w:hAnsi="仿宋_GB2312" w:cs="仿宋_GB2312" w:eastAsia="仿宋_GB2312"/>
                <w:sz w:val="21"/>
              </w:rPr>
              <w:t>桑溪镇小型体育公园建设项目</w:t>
            </w:r>
            <w:r>
              <w:rPr>
                <w:rFonts w:ascii="仿宋_GB2312" w:hAnsi="仿宋_GB2312" w:cs="仿宋_GB2312" w:eastAsia="仿宋_GB2312"/>
                <w:sz w:val="21"/>
              </w:rPr>
              <w:t>-</w:t>
            </w:r>
            <w:r>
              <w:rPr>
                <w:rFonts w:ascii="仿宋_GB2312" w:hAnsi="仿宋_GB2312" w:cs="仿宋_GB2312" w:eastAsia="仿宋_GB2312"/>
                <w:sz w:val="21"/>
              </w:rPr>
              <w:t>土建部分</w:t>
            </w:r>
            <w:r>
              <w:rPr>
                <w:rFonts w:ascii="仿宋_GB2312" w:hAnsi="仿宋_GB2312" w:cs="仿宋_GB2312" w:eastAsia="仿宋_GB2312"/>
                <w:sz w:val="21"/>
              </w:rPr>
              <w:t>；建设内容：新建篮球场一处共</w:t>
            </w:r>
            <w:r>
              <w:rPr>
                <w:rFonts w:ascii="仿宋_GB2312" w:hAnsi="仿宋_GB2312" w:cs="仿宋_GB2312" w:eastAsia="仿宋_GB2312"/>
                <w:sz w:val="21"/>
              </w:rPr>
              <w:t>420</w:t>
            </w:r>
            <w:r>
              <w:rPr>
                <w:rFonts w:ascii="仿宋_GB2312" w:hAnsi="仿宋_GB2312" w:cs="仿宋_GB2312" w:eastAsia="仿宋_GB2312"/>
                <w:sz w:val="21"/>
              </w:rPr>
              <w:t>平方米；排球场一处共</w:t>
            </w:r>
            <w:r>
              <w:rPr>
                <w:rFonts w:ascii="仿宋_GB2312" w:hAnsi="仿宋_GB2312" w:cs="仿宋_GB2312" w:eastAsia="仿宋_GB2312"/>
                <w:sz w:val="21"/>
              </w:rPr>
              <w:t>72</w:t>
            </w:r>
            <w:r>
              <w:rPr>
                <w:rFonts w:ascii="仿宋_GB2312" w:hAnsi="仿宋_GB2312" w:cs="仿宋_GB2312" w:eastAsia="仿宋_GB2312"/>
                <w:sz w:val="21"/>
              </w:rPr>
              <w:t>平方米；羽毛球场两处共</w:t>
            </w:r>
            <w:r>
              <w:rPr>
                <w:rFonts w:ascii="仿宋_GB2312" w:hAnsi="仿宋_GB2312" w:cs="仿宋_GB2312" w:eastAsia="仿宋_GB2312"/>
                <w:sz w:val="21"/>
              </w:rPr>
              <w:t>163.4</w:t>
            </w:r>
            <w:r>
              <w:rPr>
                <w:rFonts w:ascii="仿宋_GB2312" w:hAnsi="仿宋_GB2312" w:cs="仿宋_GB2312" w:eastAsia="仿宋_GB2312"/>
                <w:sz w:val="21"/>
              </w:rPr>
              <w:t>平方米；乒乓球场一处共</w:t>
            </w:r>
            <w:r>
              <w:rPr>
                <w:rFonts w:ascii="仿宋_GB2312" w:hAnsi="仿宋_GB2312" w:cs="仿宋_GB2312" w:eastAsia="仿宋_GB2312"/>
                <w:sz w:val="21"/>
              </w:rPr>
              <w:t>96</w:t>
            </w:r>
            <w:r>
              <w:rPr>
                <w:rFonts w:ascii="仿宋_GB2312" w:hAnsi="仿宋_GB2312" w:cs="仿宋_GB2312" w:eastAsia="仿宋_GB2312"/>
                <w:sz w:val="21"/>
              </w:rPr>
              <w:t>平方米，设球台</w:t>
            </w:r>
            <w:r>
              <w:rPr>
                <w:rFonts w:ascii="仿宋_GB2312" w:hAnsi="仿宋_GB2312" w:cs="仿宋_GB2312" w:eastAsia="仿宋_GB2312"/>
                <w:sz w:val="21"/>
              </w:rPr>
              <w:t>6</w:t>
            </w:r>
            <w:r>
              <w:rPr>
                <w:rFonts w:ascii="仿宋_GB2312" w:hAnsi="仿宋_GB2312" w:cs="仿宋_GB2312" w:eastAsia="仿宋_GB2312"/>
                <w:sz w:val="21"/>
              </w:rPr>
              <w:t>张；健身步道长</w:t>
            </w:r>
            <w:r>
              <w:rPr>
                <w:rFonts w:ascii="仿宋_GB2312" w:hAnsi="仿宋_GB2312" w:cs="仿宋_GB2312" w:eastAsia="仿宋_GB2312"/>
                <w:sz w:val="21"/>
              </w:rPr>
              <w:t>800</w:t>
            </w:r>
            <w:r>
              <w:rPr>
                <w:rFonts w:ascii="仿宋_GB2312" w:hAnsi="仿宋_GB2312" w:cs="仿宋_GB2312" w:eastAsia="仿宋_GB2312"/>
                <w:sz w:val="21"/>
              </w:rPr>
              <w:t>米，宽</w:t>
            </w:r>
            <w:r>
              <w:rPr>
                <w:rFonts w:ascii="仿宋_GB2312" w:hAnsi="仿宋_GB2312" w:cs="仿宋_GB2312" w:eastAsia="仿宋_GB2312"/>
                <w:sz w:val="21"/>
              </w:rPr>
              <w:t>1.5</w:t>
            </w:r>
            <w:r>
              <w:rPr>
                <w:rFonts w:ascii="仿宋_GB2312" w:hAnsi="仿宋_GB2312" w:cs="仿宋_GB2312" w:eastAsia="仿宋_GB2312"/>
                <w:sz w:val="21"/>
              </w:rPr>
              <w:t>米；室外健身小广场一处，设儿童活动场地，共</w:t>
            </w:r>
            <w:r>
              <w:rPr>
                <w:rFonts w:ascii="仿宋_GB2312" w:hAnsi="仿宋_GB2312" w:cs="仿宋_GB2312" w:eastAsia="仿宋_GB2312"/>
                <w:sz w:val="21"/>
              </w:rPr>
              <w:t>120</w:t>
            </w:r>
            <w:r>
              <w:rPr>
                <w:rFonts w:ascii="仿宋_GB2312" w:hAnsi="仿宋_GB2312" w:cs="仿宋_GB2312" w:eastAsia="仿宋_GB2312"/>
                <w:sz w:val="21"/>
              </w:rPr>
              <w:t>平方米；并配套照明、监控，绿化等基础设施；工期：</w:t>
            </w:r>
            <w:r>
              <w:rPr>
                <w:rFonts w:ascii="仿宋_GB2312" w:hAnsi="仿宋_GB2312" w:cs="仿宋_GB2312" w:eastAsia="仿宋_GB2312"/>
                <w:sz w:val="21"/>
              </w:rPr>
              <w:t>120</w:t>
            </w:r>
            <w:r>
              <w:rPr>
                <w:rFonts w:ascii="仿宋_GB2312" w:hAnsi="仿宋_GB2312" w:cs="仿宋_GB2312" w:eastAsia="仿宋_GB2312"/>
                <w:sz w:val="21"/>
              </w:rPr>
              <w:t>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供应商应具备建设行政主管部门核发的市政公用工程施工总承包三级（含三级）及其以上资质，且具有有效的安全生产许可证；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拟派往本项目的项目负责人应具备市政公用工程专业二级（含二级）及以上注册建造师资格、具有有效的安全考核合格证（建安B证），无在建工程；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施工进度计划与措施</w:t>
            </w:r>
          </w:p>
        </w:tc>
        <w:tc>
          <w:tcPr>
            <w:tcW w:type="dxa" w:w="2492"/>
          </w:tcPr>
          <w:p>
            <w:pPr>
              <w:pStyle w:val="null3"/>
            </w:pPr>
            <w:r>
              <w:rPr>
                <w:rFonts w:ascii="仿宋_GB2312" w:hAnsi="仿宋_GB2312" w:cs="仿宋_GB2312" w:eastAsia="仿宋_GB2312"/>
              </w:rPr>
              <w:t>供应商针对本项目编制施工进度计划与措施，内容包含：1. 施工进度总体安排；2. 施工进度计划的主要内容；3. 工期保证的措施。满足以上三项得 8-5 分；工期较合理、进度计划较可行、保证措施一般得 4.9-1 分；不合理或无此项得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项目施工技术方案</w:t>
            </w:r>
          </w:p>
        </w:tc>
        <w:tc>
          <w:tcPr>
            <w:tcW w:type="dxa" w:w="2492"/>
          </w:tcPr>
          <w:p>
            <w:pPr>
              <w:pStyle w:val="null3"/>
            </w:pPr>
            <w:r>
              <w:rPr>
                <w:rFonts w:ascii="仿宋_GB2312" w:hAnsi="仿宋_GB2312" w:cs="仿宋_GB2312" w:eastAsia="仿宋_GB2312"/>
              </w:rPr>
              <w:t>供应商针对本项目编制完善的施工方案，内容包含：1、工程重难点及解决措施；2、工程施工方法；3、施工质量通病防治措施。实施方案具体、完整、管理科学、可行、可靠、措施具体、组织严谨、针对性强、施工段划分合理、清晰、整体设想周密完善得15-11分；内容较好、针对性较强、基本满足质量目标要求的10.9-6分；内容一般、基本可行得5.9-1分；不合理或无此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项目质量保障措施</w:t>
            </w:r>
          </w:p>
        </w:tc>
        <w:tc>
          <w:tcPr>
            <w:tcW w:type="dxa" w:w="2492"/>
          </w:tcPr>
          <w:p>
            <w:pPr>
              <w:pStyle w:val="null3"/>
            </w:pPr>
            <w:r>
              <w:rPr>
                <w:rFonts w:ascii="仿宋_GB2312" w:hAnsi="仿宋_GB2312" w:cs="仿宋_GB2312" w:eastAsia="仿宋_GB2312"/>
              </w:rPr>
              <w:t>供应商针对本项目编制项目质量保障措施，内容包含：1、质量目标管理体系；2、施工质量的检验制度；3、确保质量的技术组织措施；进行评审赋分满足以上三项得 8-5 分；基本合理、内容较完善得 4.9-1 分；不合理或无此项得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供应商针对本项目编制安全保障措施，内容包含：1、安全生产管理制度；2、安全文明施工措施；3、安全生产教育及安全应急预案。科学、合理、有效，可行性强的计8-5分；基本合理、内容较完善的计4.9-1分；不合理或无此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供应商针对本项目编制文明施工及环境保护措施，内容包含：1、文明施工总体控制制度；2、环境保护、环境卫生管理制度；3、扰民预防措施等；科学、合理、有效，可行性强的计8-5分；基本合理、内容较完善的计4.9-1分；不合理或无此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编制资源配备计划，内容包含：1、施工机械设备配备；2、劳动力配备；整个项目的实施组织机构、机械配备完整、人员充足，分工科学、合理计5-3分；机械配备、人员构成基本合理，内容较完善的计2.9-1分；不合理或无此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项目应急预案</w:t>
            </w:r>
          </w:p>
        </w:tc>
        <w:tc>
          <w:tcPr>
            <w:tcW w:type="dxa" w:w="2492"/>
          </w:tcPr>
          <w:p>
            <w:pPr>
              <w:pStyle w:val="null3"/>
            </w:pPr>
            <w:r>
              <w:rPr>
                <w:rFonts w:ascii="仿宋_GB2312" w:hAnsi="仿宋_GB2312" w:cs="仿宋_GB2312" w:eastAsia="仿宋_GB2312"/>
              </w:rPr>
              <w:t>供应商针对本项目编制项目应急预案，内容包含：1、项目风险预测与防范、事故应急预案；2、应急物资与设备保障；具备完善的应急预案体系、有效的项目风险管理能力及资源配备齐全，且应急处置措施得当、合理、可行性强，得5-3分，基本可行得2.9-1分。不合理或无此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供应商针对本项目编制完善的后期服务方案，内容包含：1、服务范围及后期保障措施；2、突发事件处理时限与措施；3、保修期及定期回访维护措施。提供详细、具体、可实施的服务方案，满分为10分；服务方案完整、合理、具体、可行计10-6分；基本合理计5.9-1分；不合理或无此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供应商提供2023年1月1日至今完成的类似项目业绩，每提供一份得1.5分，此项最高得3.0分； 注：业绩须是类似项目，以中标通知书或合同为准。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详见附件：项目管理机构组成表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