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DCB31E">
      <w:pPr>
        <w:pStyle w:val="3"/>
        <w:spacing w:line="360" w:lineRule="auto"/>
        <w:rPr>
          <w:rFonts w:hint="eastAsia" w:ascii="宋体" w:hAnsi="宋体" w:eastAsia="宋体" w:cs="宋体"/>
          <w:b/>
          <w:sz w:val="44"/>
        </w:rPr>
      </w:pPr>
      <w:bookmarkStart w:id="0" w:name="_GoBack"/>
      <w:bookmarkEnd w:id="0"/>
      <w:r>
        <w:rPr>
          <w:rFonts w:hint="eastAsia" w:ascii="宋体" w:hAnsi="宋体" w:eastAsia="宋体" w:cs="宋体"/>
          <w:b/>
          <w:sz w:val="44"/>
          <w:szCs w:val="44"/>
        </w:rPr>
        <w:t xml:space="preserve"> </w:t>
      </w:r>
    </w:p>
    <w:p w14:paraId="2595D0BB">
      <w:pPr>
        <w:rPr>
          <w:rFonts w:hint="eastAsia" w:ascii="宋体" w:hAnsi="宋体" w:eastAsia="宋体" w:cs="宋体"/>
          <w:kern w:val="0"/>
          <w:szCs w:val="21"/>
        </w:rPr>
      </w:pPr>
    </w:p>
    <w:p w14:paraId="78E725C0">
      <w:pPr>
        <w:jc w:val="center"/>
        <w:rPr>
          <w:rFonts w:hint="eastAsia" w:ascii="宋体" w:hAnsi="宋体" w:eastAsia="宋体" w:cs="宋体"/>
          <w:bCs/>
          <w:kern w:val="0"/>
          <w:sz w:val="52"/>
          <w:szCs w:val="52"/>
        </w:rPr>
      </w:pPr>
      <w:r>
        <w:rPr>
          <w:rFonts w:hint="eastAsia" w:ascii="宋体" w:hAnsi="宋体" w:eastAsia="宋体" w:cs="宋体"/>
          <w:bCs/>
          <w:kern w:val="0"/>
          <w:sz w:val="52"/>
          <w:szCs w:val="52"/>
        </w:rPr>
        <w:t>建设工程施工合同</w:t>
      </w:r>
    </w:p>
    <w:p w14:paraId="7E1AEB49">
      <w:pPr>
        <w:widowControl/>
        <w:jc w:val="center"/>
        <w:rPr>
          <w:rFonts w:hint="eastAsia" w:ascii="宋体" w:hAnsi="宋体" w:eastAsia="宋体" w:cs="宋体"/>
          <w:b/>
          <w:bCs/>
          <w:kern w:val="0"/>
          <w:sz w:val="36"/>
          <w:szCs w:val="36"/>
        </w:rPr>
      </w:pPr>
    </w:p>
    <w:p w14:paraId="7F36FE8F">
      <w:pPr>
        <w:widowControl/>
        <w:jc w:val="center"/>
        <w:rPr>
          <w:rFonts w:hint="eastAsia" w:ascii="宋体" w:hAnsi="宋体" w:eastAsia="宋体" w:cs="宋体"/>
          <w:b/>
          <w:bCs/>
          <w:kern w:val="0"/>
          <w:sz w:val="36"/>
          <w:szCs w:val="36"/>
        </w:rPr>
      </w:pPr>
      <w:r>
        <w:rPr>
          <w:rFonts w:hint="eastAsia" w:ascii="宋体" w:hAnsi="宋体" w:eastAsia="宋体" w:cs="宋体"/>
          <w:b/>
          <w:bCs/>
          <w:kern w:val="0"/>
          <w:sz w:val="36"/>
          <w:szCs w:val="36"/>
        </w:rPr>
        <w:t>（示范文本）</w:t>
      </w:r>
    </w:p>
    <w:p w14:paraId="60FCA643">
      <w:pPr>
        <w:widowControl/>
        <w:ind w:firstLine="200"/>
        <w:jc w:val="center"/>
        <w:rPr>
          <w:rFonts w:hint="eastAsia" w:ascii="宋体" w:hAnsi="宋体" w:eastAsia="宋体" w:cs="宋体"/>
          <w:b/>
          <w:bCs/>
          <w:kern w:val="0"/>
          <w:sz w:val="32"/>
          <w:szCs w:val="32"/>
        </w:rPr>
      </w:pPr>
    </w:p>
    <w:p w14:paraId="62712E54">
      <w:pPr>
        <w:widowControl/>
        <w:ind w:firstLine="200"/>
        <w:jc w:val="center"/>
        <w:rPr>
          <w:rFonts w:hint="eastAsia" w:ascii="宋体" w:hAnsi="宋体" w:eastAsia="宋体" w:cs="宋体"/>
          <w:b/>
          <w:bCs/>
          <w:kern w:val="0"/>
          <w:sz w:val="32"/>
          <w:szCs w:val="32"/>
        </w:rPr>
      </w:pPr>
    </w:p>
    <w:p w14:paraId="70F36FC9">
      <w:pPr>
        <w:widowControl/>
        <w:ind w:firstLine="200"/>
        <w:jc w:val="center"/>
        <w:rPr>
          <w:rFonts w:hint="eastAsia" w:ascii="宋体" w:hAnsi="宋体" w:eastAsia="宋体" w:cs="宋体"/>
          <w:b/>
          <w:bCs/>
          <w:kern w:val="0"/>
          <w:sz w:val="32"/>
          <w:szCs w:val="32"/>
        </w:rPr>
      </w:pPr>
    </w:p>
    <w:p w14:paraId="6EBFDB6D">
      <w:pPr>
        <w:widowControl/>
        <w:ind w:firstLine="200"/>
        <w:jc w:val="center"/>
        <w:rPr>
          <w:rFonts w:hint="eastAsia" w:ascii="宋体" w:hAnsi="宋体" w:eastAsia="宋体" w:cs="宋体"/>
          <w:b/>
          <w:bCs/>
          <w:kern w:val="0"/>
          <w:sz w:val="32"/>
          <w:szCs w:val="32"/>
        </w:rPr>
      </w:pPr>
    </w:p>
    <w:p w14:paraId="780A8BB0">
      <w:pPr>
        <w:widowControl/>
        <w:ind w:firstLine="200"/>
        <w:jc w:val="center"/>
        <w:rPr>
          <w:rFonts w:hint="eastAsia" w:ascii="宋体" w:hAnsi="宋体" w:eastAsia="宋体" w:cs="宋体"/>
          <w:b/>
          <w:bCs/>
          <w:kern w:val="0"/>
          <w:sz w:val="32"/>
          <w:szCs w:val="32"/>
        </w:rPr>
      </w:pPr>
    </w:p>
    <w:p w14:paraId="1E0F2D1A">
      <w:pPr>
        <w:widowControl/>
        <w:ind w:firstLine="200"/>
        <w:jc w:val="center"/>
        <w:rPr>
          <w:rFonts w:hint="eastAsia" w:ascii="宋体" w:hAnsi="宋体" w:eastAsia="宋体" w:cs="宋体"/>
          <w:b/>
          <w:bCs/>
          <w:kern w:val="0"/>
          <w:sz w:val="32"/>
          <w:szCs w:val="32"/>
        </w:rPr>
      </w:pPr>
    </w:p>
    <w:p w14:paraId="22C02EFC">
      <w:pPr>
        <w:widowControl/>
        <w:ind w:firstLine="200"/>
        <w:jc w:val="center"/>
        <w:rPr>
          <w:rFonts w:hint="eastAsia" w:ascii="宋体" w:hAnsi="宋体" w:eastAsia="宋体" w:cs="宋体"/>
          <w:b/>
          <w:bCs/>
          <w:kern w:val="0"/>
          <w:sz w:val="32"/>
          <w:szCs w:val="32"/>
        </w:rPr>
      </w:pPr>
    </w:p>
    <w:p w14:paraId="65997EDA">
      <w:pPr>
        <w:widowControl/>
        <w:ind w:firstLine="200"/>
        <w:jc w:val="center"/>
        <w:rPr>
          <w:rFonts w:hint="eastAsia" w:ascii="宋体" w:hAnsi="宋体" w:eastAsia="宋体" w:cs="宋体"/>
          <w:b/>
          <w:bCs/>
          <w:kern w:val="0"/>
          <w:sz w:val="32"/>
          <w:szCs w:val="32"/>
        </w:rPr>
      </w:pPr>
    </w:p>
    <w:p w14:paraId="077A80F3">
      <w:pPr>
        <w:widowControl/>
        <w:ind w:firstLine="200"/>
        <w:jc w:val="center"/>
        <w:rPr>
          <w:rFonts w:hint="eastAsia" w:ascii="宋体" w:hAnsi="宋体" w:eastAsia="宋体" w:cs="宋体"/>
          <w:b/>
          <w:bCs/>
          <w:kern w:val="0"/>
          <w:sz w:val="32"/>
          <w:szCs w:val="32"/>
        </w:rPr>
      </w:pPr>
    </w:p>
    <w:p w14:paraId="72808CE3">
      <w:pPr>
        <w:widowControl/>
        <w:ind w:firstLine="200"/>
        <w:jc w:val="center"/>
        <w:rPr>
          <w:rFonts w:hint="eastAsia" w:ascii="宋体" w:hAnsi="宋体" w:eastAsia="宋体" w:cs="宋体"/>
          <w:b/>
          <w:bCs/>
          <w:kern w:val="0"/>
          <w:sz w:val="32"/>
          <w:szCs w:val="32"/>
        </w:rPr>
      </w:pPr>
    </w:p>
    <w:p w14:paraId="3653CFF6">
      <w:pPr>
        <w:widowControl/>
        <w:ind w:firstLine="200"/>
        <w:jc w:val="center"/>
        <w:rPr>
          <w:rFonts w:hint="eastAsia" w:ascii="宋体" w:hAnsi="宋体" w:eastAsia="宋体" w:cs="宋体"/>
          <w:b/>
          <w:bCs/>
          <w:kern w:val="0"/>
          <w:sz w:val="32"/>
          <w:szCs w:val="32"/>
        </w:rPr>
      </w:pPr>
    </w:p>
    <w:p w14:paraId="293B3E3E">
      <w:pPr>
        <w:widowControl/>
        <w:ind w:firstLine="200"/>
        <w:jc w:val="center"/>
        <w:rPr>
          <w:rFonts w:hint="eastAsia" w:ascii="宋体" w:hAnsi="宋体" w:eastAsia="宋体" w:cs="宋体"/>
          <w:b/>
          <w:bCs/>
          <w:kern w:val="0"/>
          <w:sz w:val="32"/>
          <w:szCs w:val="32"/>
        </w:rPr>
      </w:pPr>
    </w:p>
    <w:p w14:paraId="1116142E">
      <w:pPr>
        <w:widowControl/>
        <w:ind w:firstLine="200"/>
        <w:jc w:val="center"/>
        <w:rPr>
          <w:rFonts w:hint="eastAsia" w:ascii="宋体" w:hAnsi="宋体" w:eastAsia="宋体" w:cs="宋体"/>
          <w:b/>
          <w:bCs/>
          <w:kern w:val="0"/>
          <w:sz w:val="32"/>
          <w:szCs w:val="32"/>
        </w:rPr>
      </w:pPr>
    </w:p>
    <w:p w14:paraId="1B7E5A09">
      <w:pPr>
        <w:widowControl/>
        <w:ind w:firstLine="200"/>
        <w:jc w:val="center"/>
        <w:rPr>
          <w:rFonts w:hint="eastAsia" w:ascii="宋体" w:hAnsi="宋体" w:eastAsia="宋体" w:cs="宋体"/>
          <w:b/>
          <w:bCs/>
          <w:kern w:val="0"/>
          <w:sz w:val="32"/>
          <w:szCs w:val="32"/>
        </w:rPr>
      </w:pPr>
    </w:p>
    <w:p w14:paraId="22FF6F3F">
      <w:pPr>
        <w:pStyle w:val="4"/>
        <w:spacing w:before="0" w:beforeAutospacing="0" w:after="0" w:afterAutospacing="0" w:line="360" w:lineRule="auto"/>
        <w:rPr>
          <w:rFonts w:hint="eastAsia" w:ascii="宋体" w:hAnsi="宋体" w:eastAsia="宋体" w:cs="宋体"/>
          <w:color w:val="auto"/>
        </w:rPr>
      </w:pPr>
      <w:r>
        <w:rPr>
          <w:rFonts w:hint="eastAsia" w:ascii="宋体" w:hAnsi="宋体" w:eastAsia="宋体" w:cs="宋体"/>
          <w:bCs/>
          <w:kern w:val="0"/>
          <w:sz w:val="32"/>
          <w:szCs w:val="32"/>
        </w:rPr>
        <w:br w:type="page"/>
      </w:r>
      <w:r>
        <w:rPr>
          <w:rFonts w:hint="eastAsia" w:ascii="宋体" w:hAnsi="宋体" w:eastAsia="宋体" w:cs="宋体"/>
          <w:color w:val="auto"/>
        </w:rPr>
        <mc:AlternateContent>
          <mc:Choice Requires="wps">
            <w:drawing>
              <wp:anchor distT="0" distB="0" distL="114300" distR="114300" simplePos="0" relativeHeight="251659264" behindDoc="0" locked="0" layoutInCell="1" allowOverlap="1">
                <wp:simplePos x="0" y="0"/>
                <wp:positionH relativeFrom="column">
                  <wp:posOffset>823595</wp:posOffset>
                </wp:positionH>
                <wp:positionV relativeFrom="paragraph">
                  <wp:posOffset>200025</wp:posOffset>
                </wp:positionV>
                <wp:extent cx="2984500" cy="0"/>
                <wp:effectExtent l="0" t="4445" r="0" b="5080"/>
                <wp:wrapNone/>
                <wp:docPr id="2" name="直接连接符 2"/>
                <wp:cNvGraphicFramePr/>
                <a:graphic xmlns:a="http://schemas.openxmlformats.org/drawingml/2006/main">
                  <a:graphicData uri="http://schemas.microsoft.com/office/word/2010/wordprocessingShape">
                    <wps:wsp>
                      <wps:cNvCnPr/>
                      <wps:spPr>
                        <a:xfrm>
                          <a:off x="0" y="0"/>
                          <a:ext cx="2984500" cy="0"/>
                        </a:xfrm>
                        <a:prstGeom prst="line">
                          <a:avLst/>
                        </a:prstGeom>
                        <a:noFill/>
                        <a:ln w="9525" cap="flat" cmpd="sng" algn="ctr">
                          <a:solidFill>
                            <a:srgbClr val="0D0D0D">
                              <a:lumMod val="95000"/>
                              <a:lumOff val="5000"/>
                            </a:srgbClr>
                          </a:solidFill>
                          <a:prstDash val="solid"/>
                        </a:ln>
                        <a:effectLst/>
                      </wps:spPr>
                      <wps:bodyPr/>
                    </wps:wsp>
                  </a:graphicData>
                </a:graphic>
              </wp:anchor>
            </w:drawing>
          </mc:Choice>
          <mc:Fallback>
            <w:pict>
              <v:line id="_x0000_s1026" o:spid="_x0000_s1026" o:spt="20" style="position:absolute;left:0pt;margin-left:64.85pt;margin-top:15.75pt;height:0pt;width:235pt;z-index:251659264;mso-width-relative:page;mso-height-relative:page;" filled="f" stroked="t" coordsize="21600,21600" o:gfxdata="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Mo9RGvWAAAACQEAAA8AAAAAAAAAAQAgAAAAIgAAAGRycy9kb3ducmV2LnhtbFBLAQIU&#10;ABQAAAAIAIdO4kB6cbFT9QEAAOADAAAOAAAAAAAAAAEAIAAAACUBAABkcnMvZTJvRG9jLnhtbFBL&#10;BQYAAAAABgAGAFkBAACMBQAAAAA=&#10;">
                <v:fill on="f" focussize="0,0"/>
                <v:stroke color="#191919" joinstyle="round"/>
                <v:imagedata o:title=""/>
                <o:lock v:ext="edit" aspectratio="f"/>
              </v:line>
            </w:pict>
          </mc:Fallback>
        </mc:AlternateContent>
      </w:r>
      <w:r>
        <w:rPr>
          <w:rFonts w:hint="eastAsia" w:ascii="宋体" w:hAnsi="宋体" w:eastAsia="宋体" w:cs="宋体"/>
          <w:bCs/>
          <w:kern w:val="0"/>
          <w:sz w:val="32"/>
          <w:szCs w:val="32"/>
          <w:lang w:val="en-US" w:eastAsia="zh-CN"/>
        </w:rPr>
        <w:t xml:space="preserve">   </w:t>
      </w:r>
      <w:r>
        <w:rPr>
          <w:rFonts w:hint="eastAsia" w:ascii="宋体" w:hAnsi="宋体" w:eastAsia="宋体" w:cs="宋体"/>
          <w:color w:val="auto"/>
        </w:rPr>
        <w:t>甲方：</w:t>
      </w:r>
      <w:r>
        <w:rPr>
          <w:rFonts w:hint="eastAsia" w:ascii="宋体" w:hAnsi="宋体" w:eastAsia="宋体" w:cs="宋体"/>
          <w:color w:val="auto"/>
          <w:u w:val="none"/>
        </w:rPr>
        <w:t xml:space="preserve">  </w:t>
      </w:r>
      <w:r>
        <w:rPr>
          <w:rFonts w:hint="eastAsia" w:ascii="宋体" w:hAnsi="宋体" w:eastAsia="宋体" w:cs="宋体"/>
          <w:color w:val="auto"/>
        </w:rPr>
        <w:t xml:space="preserve"> </w:t>
      </w:r>
    </w:p>
    <w:p w14:paraId="0C9F76D4">
      <w:pPr>
        <w:pStyle w:val="4"/>
        <w:spacing w:before="0" w:beforeAutospacing="0" w:after="0" w:afterAutospacing="0" w:line="360" w:lineRule="auto"/>
        <w:ind w:firstLine="480" w:firstLineChars="200"/>
        <w:rPr>
          <w:rFonts w:hint="eastAsia" w:ascii="宋体" w:hAnsi="宋体" w:eastAsia="宋体" w:cs="宋体"/>
          <w:color w:val="auto"/>
          <w:u w:val="single"/>
        </w:rPr>
      </w:pPr>
      <w:r>
        <w:rPr>
          <w:rFonts w:hint="eastAsia" w:ascii="宋体" w:hAnsi="宋体" w:eastAsia="宋体" w:cs="宋体"/>
          <w:color w:val="auto"/>
        </w:rPr>
        <mc:AlternateContent>
          <mc:Choice Requires="wps">
            <w:drawing>
              <wp:anchor distT="0" distB="0" distL="114300" distR="114300" simplePos="0" relativeHeight="251663360" behindDoc="0" locked="0" layoutInCell="1" allowOverlap="1">
                <wp:simplePos x="0" y="0"/>
                <wp:positionH relativeFrom="column">
                  <wp:posOffset>820420</wp:posOffset>
                </wp:positionH>
                <wp:positionV relativeFrom="paragraph">
                  <wp:posOffset>152400</wp:posOffset>
                </wp:positionV>
                <wp:extent cx="2984500" cy="0"/>
                <wp:effectExtent l="0" t="4445" r="0" b="5080"/>
                <wp:wrapNone/>
                <wp:docPr id="7" name="直接连接符 7"/>
                <wp:cNvGraphicFramePr/>
                <a:graphic xmlns:a="http://schemas.openxmlformats.org/drawingml/2006/main">
                  <a:graphicData uri="http://schemas.microsoft.com/office/word/2010/wordprocessingShape">
                    <wps:wsp>
                      <wps:cNvCnPr/>
                      <wps:spPr>
                        <a:xfrm>
                          <a:off x="0" y="0"/>
                          <a:ext cx="2984500" cy="0"/>
                        </a:xfrm>
                        <a:prstGeom prst="line">
                          <a:avLst/>
                        </a:prstGeom>
                        <a:noFill/>
                        <a:ln w="9525" cap="flat" cmpd="sng" algn="ctr">
                          <a:solidFill>
                            <a:srgbClr val="0D0D0D">
                              <a:lumMod val="95000"/>
                              <a:lumOff val="5000"/>
                            </a:srgbClr>
                          </a:solidFill>
                          <a:prstDash val="solid"/>
                        </a:ln>
                        <a:effectLst/>
                      </wps:spPr>
                      <wps:bodyPr/>
                    </wps:wsp>
                  </a:graphicData>
                </a:graphic>
              </wp:anchor>
            </w:drawing>
          </mc:Choice>
          <mc:Fallback>
            <w:pict>
              <v:line id="_x0000_s1026" o:spid="_x0000_s1026" o:spt="20" style="position:absolute;left:0pt;margin-left:64.6pt;margin-top:12pt;height:0pt;width:235pt;z-index:251663360;mso-width-relative:page;mso-height-relative:page;" filled="f" stroked="t" coordsize="21600,21600" o:gfxdata="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BfetCi1gAAAAkBAAAPAAAAAAAAAAEAIAAAACIAAABkcnMvZG93bnJldi54bWxQSwEC&#10;FAAUAAAACACHTuJAmlYadPYBAADgAwAADgAAAAAAAAABACAAAAAlAQAAZHJzL2Uyb0RvYy54bWxQ&#10;SwUGAAAAAAYABgBZAQAAjQUAAAAA&#10;">
                <v:fill on="f" focussize="0,0"/>
                <v:stroke color="#191919" joinstyle="round"/>
                <v:imagedata o:title=""/>
                <o:lock v:ext="edit" aspectratio="f"/>
              </v:line>
            </w:pict>
          </mc:Fallback>
        </mc:AlternateContent>
      </w:r>
      <w:r>
        <w:rPr>
          <w:rFonts w:hint="eastAsia" w:ascii="宋体" w:hAnsi="宋体" w:eastAsia="宋体" w:cs="宋体"/>
          <w:color w:val="auto"/>
        </w:rPr>
        <w:t xml:space="preserve">乙方： </w:t>
      </w:r>
    </w:p>
    <w:p w14:paraId="2D713611">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根据《中华人民共和国合同法》、《中华人民共和国建筑法》及《建筑工程质量管理条例》的原则，结合本工程实际情况，为明确甲乙双方的权利、义务和经济责任，经双方洽商达成如下协议。</w:t>
      </w:r>
    </w:p>
    <w:p w14:paraId="6C3FD3EF">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mc:AlternateContent>
          <mc:Choice Requires="wps">
            <w:drawing>
              <wp:anchor distT="0" distB="0" distL="114300" distR="114300" simplePos="0" relativeHeight="251660288" behindDoc="0" locked="0" layoutInCell="1" allowOverlap="1">
                <wp:simplePos x="0" y="0"/>
                <wp:positionH relativeFrom="column">
                  <wp:posOffset>1318895</wp:posOffset>
                </wp:positionH>
                <wp:positionV relativeFrom="paragraph">
                  <wp:posOffset>154305</wp:posOffset>
                </wp:positionV>
                <wp:extent cx="2984500" cy="0"/>
                <wp:effectExtent l="0" t="4445" r="0" b="5080"/>
                <wp:wrapNone/>
                <wp:docPr id="3" name="直接连接符 3"/>
                <wp:cNvGraphicFramePr/>
                <a:graphic xmlns:a="http://schemas.openxmlformats.org/drawingml/2006/main">
                  <a:graphicData uri="http://schemas.microsoft.com/office/word/2010/wordprocessingShape">
                    <wps:wsp>
                      <wps:cNvCnPr/>
                      <wps:spPr>
                        <a:xfrm>
                          <a:off x="0" y="0"/>
                          <a:ext cx="2984500" cy="0"/>
                        </a:xfrm>
                        <a:prstGeom prst="line">
                          <a:avLst/>
                        </a:prstGeom>
                        <a:noFill/>
                        <a:ln w="9525" cap="flat" cmpd="sng" algn="ctr">
                          <a:solidFill>
                            <a:srgbClr val="0D0D0D">
                              <a:lumMod val="95000"/>
                              <a:lumOff val="5000"/>
                            </a:srgbClr>
                          </a:solidFill>
                          <a:prstDash val="solid"/>
                        </a:ln>
                        <a:effectLst/>
                      </wps:spPr>
                      <wps:bodyPr/>
                    </wps:wsp>
                  </a:graphicData>
                </a:graphic>
              </wp:anchor>
            </w:drawing>
          </mc:Choice>
          <mc:Fallback>
            <w:pict>
              <v:line id="_x0000_s1026" o:spid="_x0000_s1026" o:spt="20" style="position:absolute;left:0pt;margin-left:103.85pt;margin-top:12.15pt;height:0pt;width:235pt;z-index:251660288;mso-width-relative:page;mso-height-relative:page;" filled="f" stroked="t" coordsize="21600,21600" o:gfxdata="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BnfkS81gAAAAkBAAAPAAAAAAAAAAEAIAAAACIAAABkcnMvZG93bnJldi54bWxQSwEC&#10;FAAUAAAACACHTuJAGi+TWPYBAADgAwAADgAAAAAAAAABACAAAAAlAQAAZHJzL2Uyb0RvYy54bWxQ&#10;SwUGAAAAAAYABgBZAQAAjQUAAAAA&#10;">
                <v:fill on="f" focussize="0,0"/>
                <v:stroke color="#191919" joinstyle="round"/>
                <v:imagedata o:title=""/>
                <o:lock v:ext="edit" aspectratio="f"/>
              </v:line>
            </w:pict>
          </mc:Fallback>
        </mc:AlternateContent>
      </w:r>
      <w:r>
        <w:rPr>
          <w:rFonts w:hint="eastAsia" w:ascii="宋体" w:hAnsi="宋体" w:eastAsia="宋体" w:cs="宋体"/>
          <w:color w:val="auto"/>
        </w:rPr>
        <w:t xml:space="preserve">一、工程名称： </w:t>
      </w:r>
    </w:p>
    <w:p w14:paraId="5205E1E7">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mc:AlternateContent>
          <mc:Choice Requires="wps">
            <w:drawing>
              <wp:anchor distT="0" distB="0" distL="114300" distR="114300" simplePos="0" relativeHeight="251661312" behindDoc="0" locked="0" layoutInCell="1" allowOverlap="1">
                <wp:simplePos x="0" y="0"/>
                <wp:positionH relativeFrom="column">
                  <wp:posOffset>1318895</wp:posOffset>
                </wp:positionH>
                <wp:positionV relativeFrom="paragraph">
                  <wp:posOffset>176530</wp:posOffset>
                </wp:positionV>
                <wp:extent cx="2984500" cy="0"/>
                <wp:effectExtent l="0" t="4445" r="0" b="5080"/>
                <wp:wrapNone/>
                <wp:docPr id="4" name="直接连接符 4"/>
                <wp:cNvGraphicFramePr/>
                <a:graphic xmlns:a="http://schemas.openxmlformats.org/drawingml/2006/main">
                  <a:graphicData uri="http://schemas.microsoft.com/office/word/2010/wordprocessingShape">
                    <wps:wsp>
                      <wps:cNvCnPr/>
                      <wps:spPr>
                        <a:xfrm>
                          <a:off x="0" y="0"/>
                          <a:ext cx="2984500" cy="0"/>
                        </a:xfrm>
                        <a:prstGeom prst="line">
                          <a:avLst/>
                        </a:prstGeom>
                        <a:noFill/>
                        <a:ln w="9525" cap="flat" cmpd="sng" algn="ctr">
                          <a:solidFill>
                            <a:srgbClr val="0D0D0D">
                              <a:lumMod val="95000"/>
                              <a:lumOff val="5000"/>
                            </a:srgbClr>
                          </a:solidFill>
                          <a:prstDash val="solid"/>
                        </a:ln>
                        <a:effectLst/>
                      </wps:spPr>
                      <wps:bodyPr/>
                    </wps:wsp>
                  </a:graphicData>
                </a:graphic>
              </wp:anchor>
            </w:drawing>
          </mc:Choice>
          <mc:Fallback>
            <w:pict>
              <v:line id="_x0000_s1026" o:spid="_x0000_s1026" o:spt="20" style="position:absolute;left:0pt;margin-left:103.85pt;margin-top:13.9pt;height:0pt;width:235pt;z-index:251661312;mso-width-relative:page;mso-height-relative:page;" filled="f" stroked="t" coordsize="21600,21600" o:gfxdata="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DFdO/fVAAAACQEAAA8AAAAAAAAAAQAgAAAAIgAAAGRycy9kb3ducmV2LnhtbFBLAQIU&#10;ABQAAAAIAIdO4kA6tHxp9gEAAOADAAAOAAAAAAAAAAEAIAAAACQBAABkcnMvZTJvRG9jLnhtbFBL&#10;BQYAAAAABgAGAFkBAACMBQAAAAA=&#10;">
                <v:fill on="f" focussize="0,0"/>
                <v:stroke color="#191919" joinstyle="round"/>
                <v:imagedata o:title=""/>
                <o:lock v:ext="edit" aspectratio="f"/>
              </v:line>
            </w:pict>
          </mc:Fallback>
        </mc:AlternateContent>
      </w:r>
      <w:r>
        <w:rPr>
          <w:rFonts w:hint="eastAsia" w:ascii="宋体" w:hAnsi="宋体" w:eastAsia="宋体" w:cs="宋体"/>
          <w:color w:val="auto"/>
        </w:rPr>
        <w:t xml:space="preserve">二、工程地点：                                </w:t>
      </w:r>
    </w:p>
    <w:p w14:paraId="58A8323C">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mc:AlternateContent>
          <mc:Choice Requires="wps">
            <w:drawing>
              <wp:anchor distT="0" distB="0" distL="114300" distR="114300" simplePos="0" relativeHeight="251662336" behindDoc="0" locked="0" layoutInCell="1" allowOverlap="1">
                <wp:simplePos x="0" y="0"/>
                <wp:positionH relativeFrom="column">
                  <wp:posOffset>1318895</wp:posOffset>
                </wp:positionH>
                <wp:positionV relativeFrom="paragraph">
                  <wp:posOffset>153670</wp:posOffset>
                </wp:positionV>
                <wp:extent cx="2984500" cy="0"/>
                <wp:effectExtent l="0" t="4445" r="0" b="5080"/>
                <wp:wrapNone/>
                <wp:docPr id="5" name="直接连接符 5"/>
                <wp:cNvGraphicFramePr/>
                <a:graphic xmlns:a="http://schemas.openxmlformats.org/drawingml/2006/main">
                  <a:graphicData uri="http://schemas.microsoft.com/office/word/2010/wordprocessingShape">
                    <wps:wsp>
                      <wps:cNvCnPr/>
                      <wps:spPr>
                        <a:xfrm>
                          <a:off x="0" y="0"/>
                          <a:ext cx="2984500" cy="0"/>
                        </a:xfrm>
                        <a:prstGeom prst="line">
                          <a:avLst/>
                        </a:prstGeom>
                        <a:noFill/>
                        <a:ln w="9525" cap="flat" cmpd="sng" algn="ctr">
                          <a:solidFill>
                            <a:srgbClr val="0D0D0D">
                              <a:lumMod val="95000"/>
                              <a:lumOff val="5000"/>
                            </a:srgbClr>
                          </a:solidFill>
                          <a:prstDash val="solid"/>
                        </a:ln>
                        <a:effectLst/>
                      </wps:spPr>
                      <wps:bodyPr/>
                    </wps:wsp>
                  </a:graphicData>
                </a:graphic>
              </wp:anchor>
            </w:drawing>
          </mc:Choice>
          <mc:Fallback>
            <w:pict>
              <v:line id="_x0000_s1026" o:spid="_x0000_s1026" o:spt="20" style="position:absolute;left:0pt;margin-left:103.85pt;margin-top:12.1pt;height:0pt;width:235pt;z-index:251662336;mso-width-relative:page;mso-height-relative:page;" filled="f" stroked="t" coordsize="21600,21600" o:gfxdata="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Koq1v7WAAAACQEAAA8AAAAAAAAAAQAgAAAAIgAAAGRycy9kb3ducmV2LnhtbFBLAQIU&#10;ABQAAAAIAIdO4kBa6l5i9QEAAOADAAAOAAAAAAAAAAEAIAAAACUBAABkcnMvZTJvRG9jLnhtbFBL&#10;BQYAAAAABgAGAFkBAACMBQAAAAA=&#10;">
                <v:fill on="f" focussize="0,0"/>
                <v:stroke color="#191919" joinstyle="round"/>
                <v:imagedata o:title=""/>
                <o:lock v:ext="edit" aspectratio="f"/>
              </v:line>
            </w:pict>
          </mc:Fallback>
        </mc:AlternateContent>
      </w:r>
      <w:r>
        <w:rPr>
          <w:rFonts w:hint="eastAsia" w:ascii="宋体" w:hAnsi="宋体" w:eastAsia="宋体" w:cs="宋体"/>
          <w:color w:val="auto"/>
        </w:rPr>
        <w:t xml:space="preserve">三、工作内容:                                                               </w:t>
      </w:r>
    </w:p>
    <w:p w14:paraId="67E7B4FC">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四、承包方式及材料供应方式：</w:t>
      </w:r>
    </w:p>
    <w:p w14:paraId="53953780">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（一）承包方式：施工总承包。</w:t>
      </w:r>
    </w:p>
    <w:p w14:paraId="5FB484A8">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（二）材料供应方式：本工程所需材料全部由乙方采购供应。所有进场材料必须符合产品质量及规范要求，并按规定进行材料复验，并能满足工程项目设计要求及有关行业特殊使用要求。</w:t>
      </w:r>
    </w:p>
    <w:p w14:paraId="7A6C1040">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（三）所有材料，成品，半成品均应有产品合格证及检验报告，须经现场甲方代表及监理工程师检查验收，报验合格方可进场，无质量证明文件的产品不得用于本项目工程。</w:t>
      </w:r>
    </w:p>
    <w:p w14:paraId="41DB7BE4">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五、工程价款及结算办法</w:t>
      </w:r>
    </w:p>
    <w:p w14:paraId="53D51166">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（一）根据工程量清单所列的预计数量和单价或总额价计算的签约合同价：人民币（大写）</w:t>
      </w:r>
      <w:r>
        <w:rPr>
          <w:rFonts w:hint="eastAsia" w:ascii="宋体" w:hAnsi="宋体" w:eastAsia="宋体" w:cs="宋体"/>
          <w:color w:val="auto"/>
          <w:u w:val="single"/>
        </w:rPr>
        <w:t xml:space="preserve">          </w:t>
      </w:r>
      <w:r>
        <w:rPr>
          <w:rFonts w:hint="eastAsia" w:ascii="宋体" w:hAnsi="宋体" w:eastAsia="宋体" w:cs="宋体"/>
          <w:color w:val="auto"/>
        </w:rPr>
        <w:t>（</w:t>
      </w:r>
      <w:r>
        <w:rPr>
          <w:rFonts w:hint="eastAsia" w:ascii="宋体" w:hAnsi="宋体" w:eastAsia="宋体" w:cs="宋体"/>
          <w:color w:val="auto"/>
          <w:lang w:val="en-US" w:eastAsia="zh-CN"/>
        </w:rPr>
        <w:t>¥</w:t>
      </w:r>
      <w:r>
        <w:rPr>
          <w:rFonts w:hint="eastAsia" w:ascii="宋体" w:hAnsi="宋体" w:eastAsia="宋体" w:cs="宋体"/>
          <w:color w:val="auto"/>
          <w:u w:val="single"/>
        </w:rPr>
        <w:t xml:space="preserve">        </w:t>
      </w:r>
      <w:r>
        <w:rPr>
          <w:rFonts w:hint="eastAsia" w:ascii="宋体" w:hAnsi="宋体" w:eastAsia="宋体" w:cs="宋体"/>
          <w:color w:val="auto"/>
        </w:rPr>
        <w:t xml:space="preserve"> 元）。</w:t>
      </w:r>
    </w:p>
    <w:p w14:paraId="7DFA988F">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（二）合同总价包括完成该工程项目的直接费、间接费、利润、税金、保险费、其它费用以及合同明示或暗示的所有风险、责任和义务等全部费用。</w:t>
      </w:r>
    </w:p>
    <w:p w14:paraId="459D5018">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（三）合同总价、单价按照成交确定的价格和合同中明确的工程范围，在工程实施过程中一次性包死。除此之外的工程范围和工程量的变动部分在征得甲方同意后实行现场签证，依照磋商报价增加或扣减。</w:t>
      </w:r>
    </w:p>
    <w:p w14:paraId="3C2939F5">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付款方式及工期：</w:t>
      </w:r>
    </w:p>
    <w:p w14:paraId="2363AF63">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（一）付款方式：</w:t>
      </w:r>
    </w:p>
    <w:p w14:paraId="62452F08">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1.工程款支付：</w:t>
      </w:r>
    </w:p>
    <w:p w14:paraId="515AE3DC">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1-1.根据施工进度拨付进度款，具体以甲乙双方最终签订的合同为准，待工程完工验收合格、经审计部门审定后留审定总价3%的尾款作为质保金，项目缺陷责任期满后退还质保金。</w:t>
      </w:r>
    </w:p>
    <w:p w14:paraId="3357EBBE">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1-2.乙方不得因甲方资金暂时不到位而影响工期。</w:t>
      </w:r>
    </w:p>
    <w:p w14:paraId="72EC2CE8">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2.结算方式：银行转账。</w:t>
      </w:r>
    </w:p>
    <w:p w14:paraId="2F4B47FD">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3.付款方式：乙方在接受每次付款前，开具相应额度发票给甲方。</w:t>
      </w:r>
    </w:p>
    <w:p w14:paraId="571231E9">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（二）工期：</w:t>
      </w:r>
      <w:r>
        <w:rPr>
          <w:rFonts w:hint="eastAsia" w:ascii="宋体" w:hAnsi="宋体" w:eastAsia="宋体" w:cs="宋体"/>
          <w:color w:val="auto"/>
          <w:u w:val="single"/>
          <w:lang w:val="en-US" w:eastAsia="zh-CN"/>
        </w:rPr>
        <w:t xml:space="preserve">     </w:t>
      </w:r>
      <w:r>
        <w:rPr>
          <w:rFonts w:hint="eastAsia" w:ascii="宋体" w:hAnsi="宋体" w:eastAsia="宋体" w:cs="宋体"/>
          <w:color w:val="auto"/>
        </w:rPr>
        <w:t>年</w:t>
      </w:r>
      <w:r>
        <w:rPr>
          <w:rFonts w:hint="eastAsia" w:ascii="宋体" w:hAnsi="宋体" w:eastAsia="宋体" w:cs="宋体"/>
          <w:color w:val="auto"/>
          <w:u w:val="single"/>
        </w:rPr>
        <w:t xml:space="preserve">    </w:t>
      </w:r>
      <w:r>
        <w:rPr>
          <w:rFonts w:hint="eastAsia" w:ascii="宋体" w:hAnsi="宋体" w:eastAsia="宋体" w:cs="宋体"/>
          <w:color w:val="auto"/>
        </w:rPr>
        <w:t>月</w:t>
      </w:r>
      <w:r>
        <w:rPr>
          <w:rFonts w:hint="eastAsia" w:ascii="宋体" w:hAnsi="宋体" w:eastAsia="宋体" w:cs="宋体"/>
          <w:color w:val="auto"/>
          <w:u w:val="single"/>
        </w:rPr>
        <w:t xml:space="preserve">    </w:t>
      </w:r>
      <w:r>
        <w:rPr>
          <w:rFonts w:hint="eastAsia" w:ascii="宋体" w:hAnsi="宋体" w:eastAsia="宋体" w:cs="宋体"/>
          <w:color w:val="auto"/>
        </w:rPr>
        <w:t xml:space="preserve">日至 </w:t>
      </w:r>
      <w:r>
        <w:rPr>
          <w:rFonts w:hint="eastAsia" w:ascii="宋体" w:hAnsi="宋体" w:eastAsia="宋体" w:cs="宋体"/>
          <w:color w:val="auto"/>
          <w:u w:val="single"/>
          <w:lang w:val="en-US" w:eastAsia="zh-CN"/>
        </w:rPr>
        <w:t xml:space="preserve">     </w:t>
      </w:r>
      <w:r>
        <w:rPr>
          <w:rFonts w:hint="eastAsia" w:ascii="宋体" w:hAnsi="宋体" w:eastAsia="宋体" w:cs="宋体"/>
          <w:color w:val="auto"/>
        </w:rPr>
        <w:t>年</w:t>
      </w:r>
      <w:r>
        <w:rPr>
          <w:rFonts w:hint="eastAsia" w:ascii="宋体" w:hAnsi="宋体" w:eastAsia="宋体" w:cs="宋体"/>
          <w:color w:val="auto"/>
          <w:u w:val="single"/>
        </w:rPr>
        <w:t xml:space="preserve">    </w:t>
      </w:r>
      <w:r>
        <w:rPr>
          <w:rFonts w:hint="eastAsia" w:ascii="宋体" w:hAnsi="宋体" w:eastAsia="宋体" w:cs="宋体"/>
          <w:color w:val="auto"/>
        </w:rPr>
        <w:t>月</w:t>
      </w:r>
      <w:r>
        <w:rPr>
          <w:rFonts w:hint="eastAsia" w:ascii="宋体" w:hAnsi="宋体" w:eastAsia="宋体" w:cs="宋体"/>
          <w:color w:val="auto"/>
          <w:u w:val="single"/>
        </w:rPr>
        <w:t xml:space="preserve">    </w:t>
      </w:r>
      <w:r>
        <w:rPr>
          <w:rFonts w:hint="eastAsia" w:ascii="宋体" w:hAnsi="宋体" w:eastAsia="宋体" w:cs="宋体"/>
          <w:color w:val="auto"/>
        </w:rPr>
        <w:t>日。</w:t>
      </w:r>
    </w:p>
    <w:p w14:paraId="0B56AACA">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七、质量保证</w:t>
      </w:r>
    </w:p>
    <w:p w14:paraId="3912E145">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工程质量符合国家有关规范，确保达到合格。</w:t>
      </w:r>
    </w:p>
    <w:p w14:paraId="361B00A3">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八、双方责任</w:t>
      </w:r>
    </w:p>
    <w:p w14:paraId="4EF1D5B3">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（一）甲方责任：</w:t>
      </w:r>
    </w:p>
    <w:p w14:paraId="34DFD53F">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1.甲方负责施工场地的提供，排除施工障碍的协调。</w:t>
      </w:r>
    </w:p>
    <w:p w14:paraId="52843526">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2.组织设计、施工单位进行图纸交底，负责设计图纸问题的处理，设计变更及现场签证，工程结算的审定等工作。</w:t>
      </w:r>
    </w:p>
    <w:p w14:paraId="05321570">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3.对工程进度、质量进行监督检查。</w:t>
      </w:r>
    </w:p>
    <w:p w14:paraId="4EEA9B7B">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4.组织有关单位对工程进行竣工验收。</w:t>
      </w:r>
    </w:p>
    <w:p w14:paraId="0468E64F">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5.按时支付工程款。</w:t>
      </w:r>
    </w:p>
    <w:p w14:paraId="756C56F5">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（二）乙方责任：</w:t>
      </w:r>
    </w:p>
    <w:p w14:paraId="7D264717">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1.负责办理完成项目使用审批手续，负责工程安全文明施工、承担一切风险，满足甲方工程的需要。保证甲方正式投入使用，再无其他费用发生。</w:t>
      </w:r>
    </w:p>
    <w:p w14:paraId="1A46C75D">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2.乙方进入甲方要求场地施工，应服从当地对治安、卫生、环保、社会保险等工程建设的统一管理，并按有关规定交纳费用以及因违反相关规定而造成的罚款。乙方按照国家和当地政府有关规定应采取的任何必要安全防护措施已包含在乙方的合同价款当中，甲方不另行支付。竣工后交甲方竣工图二份及甲方委托乙方办理项目手续的相关资料等，以备留档。</w:t>
      </w:r>
    </w:p>
    <w:p w14:paraId="64889ECE">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3.乙方提供的主要材料、设备必须有质量合格证等相关证件方可用于工程，对材料改变或代用必须经原设计单位同意，并发书面通知和甲方代表签证后，方可用于工程，任何一方认为对方提供的材料需要复检的，应允许复检。经复检符合质量要求的，方可用于工程，其复检费由要求一方承担，不符合质量要求的，应按有关规定处理，其复检费由提供材料、设备一方承担。</w:t>
      </w:r>
    </w:p>
    <w:p w14:paraId="352A8379">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4.隐蔽工程在覆盖前必须经甲方代表或现场监理代表验收签章后，方可进行下一道工序。</w:t>
      </w:r>
    </w:p>
    <w:p w14:paraId="60294DF4">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5.遵守甲方施工场地的规章制度和管理，做到安全文明施工，做好成品保护，对甲方提出的问题应在 24 小时内予以解决或处理；遵守有关施工规范和安全操作规程，如发生安全事故，乙方应及时通知甲方，积极采取有效的补救措施，如因此造成甲方、乙方或第三方人身或财产损失，全部责任由乙方自行承担。</w:t>
      </w:r>
    </w:p>
    <w:p w14:paraId="399BA3AC">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6.采取有效的安全保障措施，确保施工安全，包括悬挂警示标牌、装设围栏、配备安全人员等，并承担事故的全部费用和责任。</w:t>
      </w:r>
    </w:p>
    <w:p w14:paraId="02B47805">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7.工程竣工后提供竣工验收技术资料及竣工图肆套，办理工程竣工结算手续，参加工程竣工验收。</w:t>
      </w:r>
    </w:p>
    <w:p w14:paraId="2F0E8860">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8.已完工的项目，在交工前乙方应负责保管，清理现场达到建筑物无污染，现场无建筑垃圾。</w:t>
      </w:r>
    </w:p>
    <w:p w14:paraId="3051EC00">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9.乙方应在设备运行过程中，对安全隐患进行全面的不定期检查与维护，并对不按安全规程操作的施工单位及时制止，并报甲方进行处理。</w:t>
      </w:r>
    </w:p>
    <w:p w14:paraId="660470D1">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10.乙方不能按合同规定的工期竣工的，应向甲方支付违约金，每逾期一日，支付合同总价款万分之二的违约金，造成甲方损失的，还应赔偿甲方损失。</w:t>
      </w:r>
    </w:p>
    <w:p w14:paraId="7673CDC7">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九、验收</w:t>
      </w:r>
    </w:p>
    <w:p w14:paraId="78AA8709">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（一）主材到现场后，由甲方对其进行验收，确认材料的产地、规格、数量。</w:t>
      </w:r>
    </w:p>
    <w:p w14:paraId="6879C6A7">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（二）乙方工程完工后，进行自检，合格后准备验收文件，并书面通知甲方。</w:t>
      </w:r>
    </w:p>
    <w:p w14:paraId="0720D491">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（三）甲方确认乙方的自检内容，验收合格作为工程的最终认可。</w:t>
      </w:r>
    </w:p>
    <w:p w14:paraId="2F07C683">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（四）验收依据：</w:t>
      </w:r>
    </w:p>
    <w:p w14:paraId="51B1F846">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1.合同、磋商文件、磋商响应文件及承诺。</w:t>
      </w:r>
    </w:p>
    <w:p w14:paraId="7E6ED1B9">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2.国家相关标准、规范及有关技术文件。</w:t>
      </w:r>
    </w:p>
    <w:p w14:paraId="1034B4C7">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十、工程保修</w:t>
      </w:r>
    </w:p>
    <w:p w14:paraId="12AB403D">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本项目保修期参照国家相关规定执行。在保修期限内，对甲方提出的有关维修、维护要求，乙方应在24小时内予以解决。乙方未能按时予以维修、维护的，甲方可另行委托第三方进行，因此而产生的费用由乙方承担，甲方有权从质保金中直接扣除，不足部分由乙方支付，乙方不得提出任何异议，给甲方造成损失的，乙方须给予赔偿。</w:t>
      </w:r>
    </w:p>
    <w:p w14:paraId="5D169534">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十一、争议的解决方式</w:t>
      </w:r>
    </w:p>
    <w:p w14:paraId="4FC5DD07">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合同执行过程中如发生争议，双方应及时协商解决，协商不成，双方均可向项目所在地人民法院起诉。</w:t>
      </w:r>
    </w:p>
    <w:p w14:paraId="2AEB54A7">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十二、其他</w:t>
      </w:r>
    </w:p>
    <w:p w14:paraId="6BCC9A33">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本合同未定事宜，双方可根据具体情况结合有关规定另行签订补充协议，补充协议与本合同具有同等法律效力。</w:t>
      </w:r>
    </w:p>
    <w:p w14:paraId="3965B153">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十三、附则</w:t>
      </w:r>
    </w:p>
    <w:p w14:paraId="447F0F9D">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（一）本合同一式八份，正本两份，甲、乙方各执一份，副本六份，甲方执三份，乙方执三份。</w:t>
      </w:r>
    </w:p>
    <w:p w14:paraId="3B602183">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（二）合同经双方盖章后生效，各条款执行完毕后终止。</w:t>
      </w:r>
    </w:p>
    <w:p w14:paraId="3600A71B">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甲方（公章）：                      乙方（公章）：</w:t>
      </w:r>
    </w:p>
    <w:p w14:paraId="60EC1F31">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法定代表人：                        法定代表人：</w:t>
      </w:r>
    </w:p>
    <w:p w14:paraId="5EC32D2D">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委托代表人：                        委托代表人：</w:t>
      </w:r>
    </w:p>
    <w:p w14:paraId="5F859319">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经办人：                            经办人：</w:t>
      </w:r>
    </w:p>
    <w:p w14:paraId="54CAEB84">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电话：                              电话：</w:t>
      </w:r>
    </w:p>
    <w:p w14:paraId="08DA6B23">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地址：                              地址：</w:t>
      </w:r>
    </w:p>
    <w:p w14:paraId="75D3E6A4">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签订时间：  年   月   日           签订时间：  年   月   日</w:t>
      </w:r>
    </w:p>
    <w:p w14:paraId="68453851">
      <w:pPr>
        <w:spacing w:line="520" w:lineRule="exact"/>
        <w:rPr>
          <w:rFonts w:hint="eastAsia" w:ascii="宋体" w:hAnsi="宋体" w:eastAsia="宋体" w:cs="宋体"/>
          <w:b/>
          <w:bCs/>
          <w:szCs w:val="32"/>
        </w:rPr>
      </w:pPr>
    </w:p>
    <w:p w14:paraId="25784B8F">
      <w:pPr>
        <w:spacing w:line="360" w:lineRule="auto"/>
        <w:ind w:firstLine="960" w:firstLineChars="300"/>
        <w:rPr>
          <w:rFonts w:hint="eastAsia" w:ascii="宋体" w:hAnsi="宋体" w:eastAsia="宋体" w:cs="宋体"/>
          <w:sz w:val="32"/>
          <w:szCs w:val="32"/>
        </w:rPr>
      </w:pPr>
    </w:p>
    <w:p w14:paraId="247734B8">
      <w:pPr>
        <w:rPr>
          <w:rFonts w:hint="eastAsia" w:ascii="宋体" w:hAnsi="宋体" w:eastAsia="宋体" w:cs="宋体"/>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pperplate Gothic Bold">
    <w:panose1 w:val="020E0705020206020404"/>
    <w:charset w:val="00"/>
    <w:family w:val="swiss"/>
    <w:pitch w:val="default"/>
    <w:sig w:usb0="00000003" w:usb1="00000000" w:usb2="00000000" w:usb3="00000000" w:csb0="2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85A5B6F"/>
    <w:rsid w:val="085A5B6F"/>
    <w:rsid w:val="16E67E74"/>
    <w:rsid w:val="19CA3749"/>
    <w:rsid w:val="1C697F99"/>
    <w:rsid w:val="1FD233A8"/>
    <w:rsid w:val="241D7D3C"/>
    <w:rsid w:val="3E4038DB"/>
    <w:rsid w:val="504B3E15"/>
    <w:rsid w:val="57D1139B"/>
    <w:rsid w:val="57DF34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1"/>
    <w:basedOn w:val="1"/>
    <w:next w:val="1"/>
    <w:qFormat/>
    <w:uiPriority w:val="0"/>
    <w:pPr>
      <w:keepNext/>
      <w:jc w:val="center"/>
      <w:outlineLvl w:val="0"/>
    </w:pPr>
    <w:rPr>
      <w:rFonts w:ascii="黑体" w:eastAsia="黑体"/>
      <w:sz w:val="28"/>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jc w:val="left"/>
    </w:pPr>
    <w:rPr>
      <w:rFonts w:ascii="Copperplate Gothic Bold" w:hAnsi="Copperplate Gothic Bold"/>
      <w:sz w:val="28"/>
    </w:rPr>
  </w:style>
  <w:style w:type="paragraph" w:styleId="4">
    <w:name w:val="Normal (Web)"/>
    <w:basedOn w:val="1"/>
    <w:qFormat/>
    <w:uiPriority w:val="0"/>
    <w:pPr>
      <w:widowControl/>
      <w:spacing w:before="100" w:beforeAutospacing="1" w:after="100" w:afterAutospacing="1"/>
      <w:jc w:val="left"/>
    </w:pPr>
    <w:rPr>
      <w:rFonts w:ascii="宋体" w:hAnsi="宋体" w:cs="宋体"/>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656</Words>
  <Characters>665</Characters>
  <Lines>0</Lines>
  <Paragraphs>0</Paragraphs>
  <TotalTime>0</TotalTime>
  <ScaleCrop>false</ScaleCrop>
  <LinksUpToDate>false</LinksUpToDate>
  <CharactersWithSpaces>788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2025-04-20T06:34:00Z</dcterms:created>
  <dc:creator>墙上的向日葵</dc:creator>
  <cp:lastModifiedBy>丫丫</cp:lastModifiedBy>
  <dcterms:modified xsi:type="dcterms:W3CDTF">2026-05-31T08:41:03Z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A41DA12D48464867B00CDE972EBAF5B4_13</vt:lpwstr>
  </property>
  <property fmtid="{D5CDD505-2E9C-101B-9397-08002B2CF9AE}" pid="4" name="KSOTemplateDocerSaveRecord">
    <vt:lpwstr>eyJoZGlkIjoiYmIzOWRhNWY0ZjdlNmVlZmQ1OWMyMzY2OWI2M2UzNGMiLCJ1c2VySWQiOiI1OTU2MjQxNjEifQ==</vt:lpwstr>
  </property>
</Properties>
</file>