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版本号：SDZC2026-12720260820001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爷台山营林区防火设施建设项目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SDZC2026-127</w:t>
      </w:r>
      <w:r>
        <w:br/>
      </w:r>
      <w:r>
        <w:br/>
      </w:r>
      <w:r>
        <w:br/>
      </w:r>
    </w:p>
    <w:p>
      <w:pPr>
        <w:pStyle w:val="null3"/>
        <w:jc w:val="center"/>
        <w:outlineLvl w:val="2"/>
      </w:pPr>
      <w:r>
        <w:rPr>
          <w:rFonts w:ascii="仿宋_GB2312" w:hAnsi="仿宋_GB2312" w:cs="仿宋_GB2312" w:eastAsia="仿宋_GB2312"/>
          <w:sz w:val="28"/>
          <w:b/>
        </w:rPr>
        <w:t>淳化县英烈国有生态林场</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淳化县英烈国有生态林场</w:t>
      </w:r>
      <w:r>
        <w:rPr>
          <w:rFonts w:ascii="仿宋_GB2312" w:hAnsi="仿宋_GB2312" w:cs="仿宋_GB2312" w:eastAsia="仿宋_GB2312"/>
        </w:rPr>
        <w:t>委托，拟对</w:t>
      </w:r>
      <w:r>
        <w:rPr>
          <w:rFonts w:ascii="仿宋_GB2312" w:hAnsi="仿宋_GB2312" w:cs="仿宋_GB2312" w:eastAsia="仿宋_GB2312"/>
        </w:rPr>
        <w:t>爷台山营林区防火设施建设项目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爷台山营林区防火设施建设项目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新建林区4.5m宽防火应急道路178m、3m宽防火应急道路46m，50m²蓄水池1座，成品模块化巡护员卫生间及管理间1座，一体化三级化粪池1套，配套独立供电系统和独立供水系统各1套。具体详见工程量清单。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采购包1（爷台山营林区防火设施建设项目）：属于专门面向中小企业采购。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8、企业资质：具有建设行政主管部门颁发的建筑工程施工总承包二级或以上资质，同时具有合格有效的安全生产许可证；</w:t>
      </w:r>
    </w:p>
    <w:p>
      <w:pPr>
        <w:pStyle w:val="null3"/>
      </w:pPr>
      <w:r>
        <w:rPr>
          <w:rFonts w:ascii="仿宋_GB2312" w:hAnsi="仿宋_GB2312" w:cs="仿宋_GB2312" w:eastAsia="仿宋_GB2312"/>
        </w:rPr>
        <w:t>9、项目经理资质：拟派项目经理须具备建筑工程专业二级或以上注册建造师证书和有效的安全生产考核证书（B证），在本单位注册，无在建项目（提供人员证书复印件及无在建承诺）；</w:t>
      </w:r>
    </w:p>
    <w:p>
      <w:pPr>
        <w:pStyle w:val="null3"/>
      </w:pPr>
      <w:r>
        <w:rPr>
          <w:rFonts w:ascii="仿宋_GB2312" w:hAnsi="仿宋_GB2312" w:cs="仿宋_GB2312" w:eastAsia="仿宋_GB2312"/>
        </w:rPr>
        <w:t>10、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11、控股关系查询：单位负责人为同一人或者存在直接控股、管理关系的不同投标人，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淳化县英烈国有生态林场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淳化县林业局东院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赵洋洋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18182577383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曹幸（3号工位）、魏蕾、陈光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雒斌</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13992019992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采购包1：765,246.16元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开户名称：陕西上德招标有限公司；开户银行：中国建设银行股份有限公司西安武警路支行；银行账号：61050174740000001626；财务部联系电话： 029-86673953、86518381、89299829、89293231转814、813。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淳化县英烈国有生态林场</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淳化县英烈国有生态林场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淳化县英烈国有生态林场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如欲在项目实施过程中采用自有知识成果，需在竞争性磋商响应文件中声明，并提供相关知识产权证明文件。使用该知识成果后，供应商须提供开发接口和开发手册等技术文档，并承诺提供无限期技术支持，采购人享有永久使用权。如采用供应商所不拥有的知识产权，则在报价中必须包含合法获得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国家及行业现行标准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联系人：曹幸、魏蕾</w:t>
      </w:r>
    </w:p>
    <w:p>
      <w:pPr>
        <w:pStyle w:val="null3"/>
      </w:pPr>
      <w:r>
        <w:rPr>
          <w:rFonts w:ascii="仿宋_GB2312" w:hAnsi="仿宋_GB2312" w:cs="仿宋_GB2312" w:eastAsia="仿宋_GB2312"/>
        </w:rPr>
        <w:t>联系电话：029-86673953转803</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765,246.16</w:t>
      </w:r>
    </w:p>
    <w:p>
      <w:pPr>
        <w:pStyle w:val="null3"/>
      </w:pPr>
      <w:r>
        <w:rPr>
          <w:rFonts w:ascii="仿宋_GB2312" w:hAnsi="仿宋_GB2312" w:cs="仿宋_GB2312" w:eastAsia="仿宋_GB2312"/>
        </w:rPr>
        <w:t>采购包最高限价（元）: 765,246.16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爷台山营林区防火设施建设项目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765,246.16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标的名称：爷台山营林区防火设施建设项目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FF"/>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1.验收流程 1.1项目在竣工后，成交人应向采购人提交工程竣工报告，申请工程竣工验收，并将施工过程中相关资料提交采购人。 1.2采购人收到工程竣工报告后，对符合竣工验收要求的工程，组织相关单位共同验收，签署的工程竣工验收意见。 1.3验收合格后，采购人出具《工程竣工验收报告》，并在建设行政主管部门备案。 1.4验收不合格的成交单位，必须在接到通知后7个日历日内确保工程通过验收。如接到通知后7个日历日内验收仍不合格，采购人可提出索赔或取消其施工合同。2。验收标准：符合国家及行业验收合格标准。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1、合同履行期限：自合同签订后60个日历日内施工完毕。2、合同履约地点：淳化县爷台山营林区1个作业区。3、支付方式：3.1双方签订合同后，支付合同总金额的40.00%， 3.2主体工程施工完成，经林业局验收合格后，支付合同总金额的 50.00%，3.3工程竣工验收合格，项目经决算审计完成后，支付合同总金额的10.00%。4、质量保修：4.1工程质量保修期符合国家标准要求，质保期不少于1年。成交人承诺的质保时间超过国家标准要求的，按其承诺时间质保。成交人承诺的质保期起始时间为终验合格之日。4.2工程质量等级达到合格或以上标准。4.3成交人应遵照国家规范规定的建筑工程施工质量标准及要求作出明确承诺。4.4在质量保证期内，成交人应具有良好、迅速的售后服务能力。4.5供应商向采购人交纳合同金额的3%作为工程质量担保，质保期满后无索赔争议的情况下，一次性无息退还。5、施工要求：5.1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5.2成交人应配合项目建设进度,向采购人提供施工组织计划、进度计划和施工作业计划，并签订施工安全责任书。5.3采购人只提供电源、水源。成交人在施工期间不得破坏原有建筑。6、合同实施：6.1.成交人应在合同签订后7个日历日内安排人员（项目组成人员简历表所列）就施工等进行安排、部署。 6.2.若因成交人原因未能在规定工期内完成合同规定的义务，由此对采购人造成的延误和一切损失，由成交人承担和赔偿。7、违约责任：7.1按《中华人民共和国民法典》中的相关条款执行。 7.2未按合同要求提供工程质量或工程质量不能满足技术要求，采购人有权终止合同，并对供方违约行为进行追究，同时按《中华人民共和国政府采购法》的有关规定进行处罚。7.3磋商响应文件中提供的资质证书等材料在合同签订及项目履行期间须持续有效，否则应再提供一份承诺书，承诺到期前完成续期并向采购人提供新的材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1、成交人在领取成交通知书时提供1正2副纸质竞争性磋商响应文件（纸质文件为与在线文件一致，正本为红章，建议双面打印）。2、本项目采购标的对应的中小企业划分标准所属行业为（建筑业）。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2025年度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具有建设行政主管部门颁发的建筑工程施工总承包二级或以上资质，同时具有合格有效的安全生产许可证；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拟派项目经理须具备建筑工程专业二级或以上注册建造师证书和有效的安全生产考核证书（B证），在本单位注册，无在建项目（提供人员证书复印件及无在建承诺）；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已标价工程量清单 中小企业声明函 承诺书.docx 法定代表人授权书.docx 响应文件封面 《拒绝政府采购领域商业贿赂承诺书》.docx 施工技术响应.docx 技术标附表.docx 残疾人福利性单位声明函 报价函 标的清单 商务标封皮.docx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承诺书.docx 工程量清单计价表.docx 法定代表人授权书.docx 响应文件封面 《拒绝政府采购领域商业贿赂承诺书》.docx 技术标附表.docx 残疾人福利性单位声明函 报价函 标的清单 商务标封皮.docx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投标人认为有必要补充说明的事宜.docx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无法律、法规和磋商文件规定的其他无效响应情形；</w:t>
            </w:r>
          </w:p>
        </w:tc>
        <w:tc>
          <w:tcPr>
            <w:tcW w:type="dxa" w:w="1661"/>
          </w:tcPr>
          <w:p>
            <w:pPr>
              <w:pStyle w:val="null3"/>
            </w:pPr>
            <w:r>
              <w:rPr>
                <w:rFonts w:ascii="仿宋_GB2312" w:hAnsi="仿宋_GB2312" w:cs="仿宋_GB2312" w:eastAsia="仿宋_GB2312"/>
              </w:rPr>
              <w:t>投标人认为有必要补充说明的事宜.docx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工程质量技术组织措施得分高者为第一成交候选人，若上述两项得分相同，文明施工及环境保护措施得分高者为第一成交候选人，若上述得分均相同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工程质量技术组织措施</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评审标准：内容全面详细、阐述条理清晰、具有针对性、合理可行得8分。每缺一项扣2分，每有一处内容存在缺陷，扣1分，扣完为止，未提供相关内容本项不计分。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噪音控制；防尘及扬尘的控制措施。 评审标准：内容全面详细、阐述条理清晰、具有针对性、合理可行得8分。每缺一项扣2分，每有一处内容存在缺陷，扣1分，扣完为止，未提供相关内容本项不计分。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安全生产的技术组织措施</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评审标准：内容全面详细、阐述条理清晰、具有针对性、合理可行得6分。每缺一项扣2分，每有一处内容存在缺陷，扣1分，扣完为止，未提供相关内容本项不计分。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评审标准：内容全面详细、阐述条理清晰、具有针对性、合理可行得4分。每缺一项扣2分，每有一处内容存在缺陷，扣1分，扣完为止，未提供相关内容本项不计分。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评审标准：内容全面详细、阐述条理清晰、具有针对性、合理可行得8分。每缺一项扣2分，每有一处内容存在缺陷，扣1分，扣完为止，未提供相关内容本项不计分。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 评审标准：内容全面详细、阐述条理清晰、具有针对性、合理可行得4分。每缺一项扣2分，每有一处内容存在缺陷，扣1分，扣完为止，未提供相关内容本项不计分。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评审标准：内容全面详细、阐述条理清晰、具有针对性、合理可行得6分。每缺一项扣2分，每有一处内容存在缺陷，扣1分，扣完为止，未提供相关内容本项不计分。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施工技术响应.docx</w:t>
            </w:r>
          </w:p>
        </w:tc>
      </w:tr>
      <w:tr>
        <w:tc>
          <w:tcPr>
            <w:tcW w:type="dxa" w:w="831"/>
            <w:vMerge/>
          </w:tcPr>
          <w:p/>
        </w:tc>
        <w:tc>
          <w:tcPr>
            <w:tcW w:type="dxa" w:w="1661"/>
          </w:tcPr>
          <w:p>
            <w:pPr>
              <w:pStyle w:val="null3"/>
            </w:pPr>
            <w:r>
              <w:rPr>
                <w:rFonts w:ascii="仿宋_GB2312" w:hAnsi="仿宋_GB2312" w:cs="仿宋_GB2312" w:eastAsia="仿宋_GB2312"/>
              </w:rPr>
              <w:t>劳动力安排</w:t>
            </w:r>
          </w:p>
        </w:tc>
        <w:tc>
          <w:tcPr>
            <w:tcW w:type="dxa" w:w="2492"/>
          </w:tcPr>
          <w:p>
            <w:pPr>
              <w:pStyle w:val="null3"/>
            </w:pPr>
            <w:r>
              <w:rPr>
                <w:rFonts w:ascii="仿宋_GB2312" w:hAnsi="仿宋_GB2312" w:cs="仿宋_GB2312" w:eastAsia="仿宋_GB2312"/>
              </w:rPr>
              <w:t>供应商针对本项目编制完善的劳动力安排计划及情况，内容包含但不限于：劳动力投入计划；劳动力保障措施。 评审标准：内容全面详细、阐述条理清晰、具有针对性、合理可行得4分。每缺一项扣2分，每有一处内容存在缺陷，扣1分，扣完为止，未提供相关内容本项不计分。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 评审标准：内容全面详细、阐述条理清晰、具有针对性、合理可行得8分。每缺一项扣2分，每有一处内容存在缺陷，扣1分，扣完为止，未提供相关内容本项不计分。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施工技术响应.docx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以合同形式提供供应商2023年01月至今类似项目业绩，每份计2分，计满8分为止，未提供或提供不全均不计分。（以合同签订时间为准，附完整的合同复印件）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评审标准：内容全面详细、阐述条理清晰、具有针对性、合理可行得6分。每缺一项扣2分，每有一处内容存在缺陷，扣1分，扣完为止，未提供相关内容本项不计分。 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详见附件：商务标封皮.docx</w:t>
      </w:r>
    </w:p>
    <w:p>
      <w:pPr>
        <w:pStyle w:val="null3"/>
        <w:ind w:firstLine="960"/>
      </w:pPr>
      <w:r>
        <w:rPr>
          <w:rFonts w:ascii="仿宋_GB2312" w:hAnsi="仿宋_GB2312" w:cs="仿宋_GB2312" w:eastAsia="仿宋_GB2312"/>
        </w:rPr>
        <w:t>详见附件：施工技术响应.docx</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