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版本号：JXRC-26052520260520001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傅里叶变换红外光谱仪采购项目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JXRC-260525</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傅里叶变换红外光谱仪采购项目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JXRC-260525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傅里叶变换红外光谱仪采购项目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为提升学校全课程体系的教学实验平台水平，升级现代分析测试中心光谱分析实验室功能模块，进一步拓展现有红外光谱的应用范围，拟采购一套傅里叶变换红外光谱仪设备。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采购包1（傅里叶变换红外光谱仪采购项目）：属于专门面向中小企业采购。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开户银行：民生银行西安分行营业部(备注:转账时须附言“260525投标保证金”)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详见招标文件及合同文本约定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为提升学校全课程体系的教学实验平台水平，升级现代分析测试中心光谱分析实验室功能模块儿，进一步拓展现有红外光谱的应用范围，拟采购一套傅里叶变换红外光谱仪设备。</w:t>
      </w:r>
    </w:p>
    <w:p>
      <w:pPr>
        <w:pStyle w:val="null3"/>
        <w:ind w:firstLine="480"/>
        <w:jc w:val="center"/>
      </w:pPr>
      <w:r>
        <w:rPr>
          <w:rFonts w:ascii="仿宋_GB2312" w:hAnsi="仿宋_GB2312" w:cs="仿宋_GB2312" w:eastAsia="仿宋_GB2312"/>
          <w:sz w:val="24"/>
        </w:rPr>
        <w:t>采购清单</w:t>
      </w:r>
    </w:p>
    <w:tbl>
      <w:tblPr>
        <w:tblW w:w="0" w:type="auto"/>
        <w:tblBorders>
          <w:top w:val="single"/>
          <w:left w:val="single"/>
          <w:bottom w:val="single"/>
          <w:right w:val="single"/>
          <w:insideH w:val="single"/>
          <w:insideV w:val="single"/>
        </w:tblBorders>
      </w:tblPr>
      <w:tblGrid>
        <w:gridCol w:w="667"/>
        <w:gridCol w:w="2419"/>
        <w:gridCol w:w="3170"/>
        <w:gridCol w:w="1835"/>
      </w:tblGrid>
      <w:tr>
        <w:tc>
          <w:tcPr>
            <w:tcW w:type="dxa" w:w="6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序号</w:t>
            </w:r>
          </w:p>
        </w:tc>
        <w:tc>
          <w:tcPr>
            <w:tcW w:type="dxa" w:w="5589"/>
            <w:gridSpan w:val="2"/>
            <w:tcBorders>
              <w:top w:val="single" w:color="000000" w:sz="4"/>
              <w:left w:val="none" w:color="000000" w:sz="4"/>
              <w:bottom w:val="single" w:color="000000" w:sz="4"/>
              <w:right w:val="single" w:color="000000" w:sz="4"/>
            </w:tcBorders>
            <w:shd w:fill="FFFFFF"/>
            <w:tcMar>
              <w:top w:type="dxa" w:w="0"/>
              <w:left w:type="dxa" w:w="10"/>
              <w:bottom w:type="dxa" w:w="0"/>
              <w:right w:type="dxa" w:w="10"/>
            </w:tcMar>
            <w:vAlign w:val="top"/>
          </w:tcPr>
          <w:p>
            <w:pPr>
              <w:pStyle w:val="null3"/>
              <w:jc w:val="center"/>
            </w:pPr>
            <w:r>
              <w:rPr>
                <w:rFonts w:ascii="仿宋_GB2312" w:hAnsi="仿宋_GB2312" w:cs="仿宋_GB2312" w:eastAsia="仿宋_GB2312"/>
                <w:sz w:val="24"/>
                <w:color w:val="000000"/>
              </w:rPr>
              <w:t>名称</w:t>
            </w:r>
          </w:p>
        </w:tc>
        <w:tc>
          <w:tcPr>
            <w:tcW w:type="dxa" w:w="18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66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419"/>
            <w:vMerge w:val="restart"/>
            <w:tcBorders>
              <w:top w:val="none" w:color="000000" w:sz="4"/>
              <w:left w:val="none" w:color="000000" w:sz="4"/>
              <w:bottom w:val="single" w:color="000000" w:sz="4"/>
              <w:right w:val="single" w:color="000000" w:sz="4"/>
            </w:tcBorders>
            <w:shd w:fill="FFFFFF"/>
            <w:tcMar>
              <w:top w:type="dxa" w:w="0"/>
              <w:left w:type="dxa" w:w="10"/>
              <w:bottom w:type="dxa" w:w="0"/>
              <w:right w:type="dxa" w:w="10"/>
            </w:tcMar>
          </w:tcPr>
          <w:p>
            <w:pPr>
              <w:pStyle w:val="null3"/>
              <w:jc w:val="center"/>
            </w:pPr>
            <w:r>
              <w:rPr>
                <w:rFonts w:ascii="仿宋_GB2312" w:hAnsi="仿宋_GB2312" w:cs="仿宋_GB2312" w:eastAsia="仿宋_GB2312"/>
                <w:sz w:val="24"/>
                <w:color w:val="000000"/>
              </w:rPr>
              <w:t>傅里叶变换红外光谱仪主机</w:t>
            </w: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红外光源</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激光器</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干涉仪</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中近红外检测器</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中远红外检测器</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分束器</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2419"/>
            <w:vMerge w:val="restart"/>
            <w:tcBorders>
              <w:top w:val="none" w:color="000000" w:sz="4"/>
              <w:left w:val="none" w:color="000000" w:sz="4"/>
              <w:bottom w:val="single" w:color="000000" w:sz="4"/>
              <w:right w:val="single" w:color="000000" w:sz="4"/>
            </w:tcBorders>
            <w:shd w:fill="FFFFFF"/>
            <w:tcMar>
              <w:top w:type="dxa" w:w="0"/>
              <w:left w:type="dxa" w:w="10"/>
              <w:bottom w:type="dxa" w:w="0"/>
              <w:right w:type="dxa" w:w="10"/>
            </w:tcMar>
          </w:tcPr>
          <w:p>
            <w:pPr>
              <w:pStyle w:val="null3"/>
              <w:jc w:val="center"/>
            </w:pPr>
            <w:r>
              <w:rPr>
                <w:rFonts w:ascii="仿宋_GB2312" w:hAnsi="仿宋_GB2312" w:cs="仿宋_GB2312" w:eastAsia="仿宋_GB2312"/>
                <w:sz w:val="24"/>
                <w:color w:val="000000"/>
              </w:rPr>
              <w:t>应用附件</w:t>
            </w: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金刚石晶体ATR附件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80</w:t>
            </w:r>
            <w:r>
              <w:rPr>
                <w:rFonts w:ascii="仿宋_GB2312" w:hAnsi="仿宋_GB2312" w:cs="仿宋_GB2312" w:eastAsia="仿宋_GB2312"/>
                <w:sz w:val="24"/>
                <w:color w:val="000000"/>
              </w:rPr>
              <w:t>°镜反射附件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°镜反射附件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液体制样包</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固体制样包</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气体池</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硅片测试夹具</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磁性薄膜支架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原位变温透射附件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2419"/>
            <w:tcBorders>
              <w:top w:val="none" w:color="000000" w:sz="4"/>
              <w:left w:val="none" w:color="000000" w:sz="4"/>
              <w:bottom w:val="single" w:color="000000" w:sz="4"/>
              <w:right w:val="single" w:color="000000" w:sz="4"/>
            </w:tcBorders>
            <w:shd w:fill="FFFFFF"/>
            <w:tcMar>
              <w:top w:type="dxa" w:w="0"/>
              <w:left w:type="dxa" w:w="10"/>
              <w:bottom w:type="dxa" w:w="0"/>
              <w:right w:type="dxa" w:w="10"/>
            </w:tcMar>
          </w:tcPr>
          <w:p>
            <w:pPr>
              <w:pStyle w:val="null3"/>
              <w:jc w:val="center"/>
            </w:pPr>
            <w:r>
              <w:rPr>
                <w:rFonts w:ascii="仿宋_GB2312" w:hAnsi="仿宋_GB2312" w:cs="仿宋_GB2312" w:eastAsia="仿宋_GB2312"/>
                <w:sz w:val="24"/>
                <w:color w:val="000000"/>
              </w:rPr>
              <w:t>仪器操作及数据解析软件</w:t>
            </w: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仪器操作及数据解析软件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2419"/>
            <w:vMerge w:val="restart"/>
            <w:tcBorders>
              <w:top w:val="none" w:color="000000" w:sz="4"/>
              <w:left w:val="none" w:color="000000" w:sz="4"/>
              <w:bottom w:val="single" w:color="000000" w:sz="4"/>
              <w:right w:val="single" w:color="000000" w:sz="4"/>
            </w:tcBorders>
            <w:shd w:fill="FFFFFF"/>
            <w:tcMar>
              <w:top w:type="dxa" w:w="0"/>
              <w:left w:type="dxa" w:w="10"/>
              <w:bottom w:type="dxa" w:w="0"/>
              <w:right w:type="dxa" w:w="10"/>
            </w:tcMar>
          </w:tcPr>
          <w:p>
            <w:pPr>
              <w:pStyle w:val="null3"/>
              <w:jc w:val="center"/>
            </w:pPr>
            <w:r>
              <w:rPr>
                <w:rFonts w:ascii="仿宋_GB2312" w:hAnsi="仿宋_GB2312" w:cs="仿宋_GB2312" w:eastAsia="仿宋_GB2312"/>
                <w:sz w:val="24"/>
                <w:color w:val="000000"/>
              </w:rPr>
              <w:t>数据处理系统</w:t>
            </w: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工作站（需集成预装仪器操作及数据解析软件）</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667"/>
            <w:vMerge/>
            <w:tcBorders>
              <w:top w:val="none" w:color="000000" w:sz="4"/>
              <w:left w:val="single" w:color="000000" w:sz="4"/>
              <w:bottom w:val="single" w:color="000000" w:sz="4"/>
              <w:right w:val="single" w:color="000000" w:sz="4"/>
            </w:tcBorders>
          </w:tcPr>
          <w:p/>
        </w:tc>
        <w:tc>
          <w:tcPr>
            <w:tcW w:type="dxa" w:w="2419"/>
            <w:vMerge/>
            <w:tcBorders>
              <w:top w:val="none" w:color="000000" w:sz="4"/>
              <w:left w:val="none" w:color="000000" w:sz="4"/>
              <w:bottom w:val="single" w:color="000000" w:sz="4"/>
              <w:right w:val="single" w:color="000000" w:sz="4"/>
            </w:tcBorders>
          </w:tcPr>
          <w:p/>
        </w:tc>
        <w:tc>
          <w:tcPr>
            <w:tcW w:type="dxa" w:w="317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rFonts w:ascii="仿宋_GB2312" w:hAnsi="仿宋_GB2312" w:cs="仿宋_GB2312" w:eastAsia="仿宋_GB2312"/>
                <w:sz w:val="24"/>
                <w:color w:val="000000"/>
              </w:rPr>
              <w:t>显示终端</w:t>
            </w:r>
          </w:p>
        </w:tc>
        <w:tc>
          <w:tcPr>
            <w:tcW w:type="dxa" w:w="183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傅里叶变换红外光谱仪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标的名称：傅里叶变换红外光谱仪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一、功能要求：</w:t>
            </w:r>
          </w:p>
          <w:p>
            <w:pPr>
              <w:pStyle w:val="null3"/>
            </w:pPr>
            <w:r>
              <w:rPr>
                <w:rFonts w:ascii="仿宋_GB2312" w:hAnsi="仿宋_GB2312" w:cs="仿宋_GB2312" w:eastAsia="仿宋_GB2312"/>
                <w:sz w:val="24"/>
              </w:rPr>
              <w:t>可以完成硅片透射测试、薄膜测试、固体测试、液体测试、气体测试、镀膜玻璃透射率和反射率测试、金刚石单次反射ATR测试、远近红外测试、变温原位测试，兼备附件升级功能。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二、技术参数及性能指标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主机系统</w:t>
            </w:r>
          </w:p>
          <w:p>
            <w:pPr>
              <w:pStyle w:val="null3"/>
            </w:pPr>
            <w:r>
              <w:rPr>
                <w:rFonts w:ascii="仿宋_GB2312" w:hAnsi="仿宋_GB2312" w:cs="仿宋_GB2312" w:eastAsia="仿宋_GB2312"/>
                <w:sz w:val="24"/>
              </w:rPr>
              <w:t>★1.1分辨率：≤0.1cm</w:t>
            </w:r>
            <w:r>
              <w:rPr>
                <w:rFonts w:ascii="仿宋_GB2312" w:hAnsi="仿宋_GB2312" w:cs="仿宋_GB2312" w:eastAsia="仿宋_GB2312"/>
                <w:sz w:val="24"/>
                <w:vertAlign w:val="superscript"/>
              </w:rPr>
              <w:t>-1</w:t>
            </w:r>
            <w:r>
              <w:rPr>
                <w:rFonts w:ascii="仿宋_GB2312" w:hAnsi="仿宋_GB2312" w:cs="仿宋_GB2312" w:eastAsia="仿宋_GB2312"/>
                <w:sz w:val="24"/>
              </w:rPr>
              <w:t>，且光谱分辨率可自由设置；</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▲1.2信噪比：≥60000:1（在4cm</w:t>
            </w:r>
            <w:r>
              <w:rPr>
                <w:rFonts w:ascii="仿宋_GB2312" w:hAnsi="仿宋_GB2312" w:cs="仿宋_GB2312" w:eastAsia="仿宋_GB2312"/>
                <w:sz w:val="24"/>
                <w:vertAlign w:val="superscript"/>
              </w:rPr>
              <w:t>-1</w:t>
            </w:r>
            <w:r>
              <w:rPr>
                <w:rFonts w:ascii="仿宋_GB2312" w:hAnsi="仿宋_GB2312" w:cs="仿宋_GB2312" w:eastAsia="仿宋_GB2312"/>
                <w:sz w:val="24"/>
              </w:rPr>
              <w:t>光谱分辨率，一分钟扫描，峰-峰值，KBr窗片，无需吹扫）；</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等效峰-峰值噪声≤7.2×10</w:t>
            </w:r>
            <w:r>
              <w:rPr>
                <w:rFonts w:ascii="仿宋_GB2312" w:hAnsi="仿宋_GB2312" w:cs="仿宋_GB2312" w:eastAsia="仿宋_GB2312"/>
                <w:sz w:val="24"/>
                <w:vertAlign w:val="superscript"/>
              </w:rPr>
              <w:t>-6</w:t>
            </w:r>
            <w:r>
              <w:rPr>
                <w:rFonts w:ascii="仿宋_GB2312" w:hAnsi="仿宋_GB2312" w:cs="仿宋_GB2312" w:eastAsia="仿宋_GB2312"/>
                <w:sz w:val="24"/>
              </w:rPr>
              <w:t>Abs（在4cm</w:t>
            </w:r>
            <w:r>
              <w:rPr>
                <w:rFonts w:ascii="仿宋_GB2312" w:hAnsi="仿宋_GB2312" w:cs="仿宋_GB2312" w:eastAsia="仿宋_GB2312"/>
                <w:sz w:val="24"/>
                <w:vertAlign w:val="superscript"/>
              </w:rPr>
              <w:t>-1</w:t>
            </w:r>
            <w:r>
              <w:rPr>
                <w:rFonts w:ascii="仿宋_GB2312" w:hAnsi="仿宋_GB2312" w:cs="仿宋_GB2312" w:eastAsia="仿宋_GB2312"/>
                <w:sz w:val="24"/>
              </w:rPr>
              <w:t>光谱分辨率，一分钟扫描，峰-峰值，KBr窗片，无需吹扫）；</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▲1.4光谱范围：至少应满足12500～100cm</w:t>
            </w:r>
            <w:r>
              <w:rPr>
                <w:rFonts w:ascii="仿宋_GB2312" w:hAnsi="仿宋_GB2312" w:cs="仿宋_GB2312" w:eastAsia="仿宋_GB2312"/>
                <w:sz w:val="24"/>
                <w:vertAlign w:val="superscript"/>
              </w:rPr>
              <w:t>-1</w:t>
            </w:r>
            <w:r>
              <w:rPr>
                <w:rFonts w:ascii="仿宋_GB2312" w:hAnsi="仿宋_GB2312" w:cs="仿宋_GB2312" w:eastAsia="仿宋_GB2312"/>
                <w:sz w:val="24"/>
              </w:rPr>
              <w:t>光谱测试，即相关应配置的分束器和检测器能达到测试该波数范围光谱性能的要求；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1.5</w:t>
            </w:r>
            <w:r>
              <w:rPr>
                <w:rFonts w:ascii="仿宋_GB2312" w:hAnsi="仿宋_GB2312" w:cs="仿宋_GB2312" w:eastAsia="仿宋_GB2312"/>
                <w:sz w:val="24"/>
              </w:rPr>
              <w:t>动态准直功能，可以在开机自检和实际光谱扫描过程中实现自动准直和实时准直；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1.6</w:t>
            </w:r>
            <w:r>
              <w:rPr>
                <w:rFonts w:ascii="仿宋_GB2312" w:hAnsi="仿宋_GB2312" w:cs="仿宋_GB2312" w:eastAsia="仿宋_GB2312"/>
                <w:sz w:val="24"/>
              </w:rPr>
              <w:t>高速扫描功能：使用标配的检测器实现每秒钟≥60张完整光谱的高速扫描；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1.7</w:t>
            </w:r>
            <w:r>
              <w:rPr>
                <w:rFonts w:ascii="仿宋_GB2312" w:hAnsi="仿宋_GB2312" w:cs="仿宋_GB2312" w:eastAsia="仿宋_GB2312"/>
                <w:sz w:val="24"/>
              </w:rPr>
              <w:t>数据处理功能：包括四则数学运算、归一化、基线校正、平滑、导数、截断、连接、插值、频率转换、时间-温度转换、峰检测、膜厚/池厚计算、数据集运算、纯度计算、解卷积、傅立叶变换、K-M变换、K-K变换、高级ATR校正、分峰拟合、大气校正、3D数据处理、3D数据抽取等；</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1.8光谱检索功能：可基于光谱检索，也可基于峰检索、文本检索或组合检索。用户可自建库（支持中文路径）；可使用用户自建谱库。此外，提供原厂20万张高分辨图谱库，具有谱库检索和建库功能，提供无机、有机及高分子等红外光谱库。终身免费升级。</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1.9</w:t>
            </w:r>
            <w:r>
              <w:rPr>
                <w:rFonts w:ascii="仿宋_GB2312" w:hAnsi="仿宋_GB2312" w:cs="仿宋_GB2312" w:eastAsia="仿宋_GB2312"/>
                <w:sz w:val="24"/>
              </w:rPr>
              <w:t>分束器：中红外镀锗双面防潮特氟龙镀层KBr分束器</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▲1.10激光器：高单色性、高稳定性He-Ne激光器；</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1.11</w:t>
            </w:r>
            <w:r>
              <w:rPr>
                <w:rFonts w:ascii="仿宋_GB2312" w:hAnsi="仿宋_GB2312" w:cs="仿宋_GB2312" w:eastAsia="仿宋_GB2312"/>
                <w:sz w:val="24"/>
              </w:rPr>
              <w:t>检测器：主机同时配备半导体控温型高灵敏度中近红外DLATGS检测器和高灵敏度中远红外检测器，检测器封装采用永久防潮的光学窗片。双检测器软件选择，自动切换；</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1.12</w:t>
            </w:r>
            <w:r>
              <w:rPr>
                <w:rFonts w:ascii="仿宋_GB2312" w:hAnsi="仿宋_GB2312" w:cs="仿宋_GB2312" w:eastAsia="仿宋_GB2312"/>
                <w:sz w:val="24"/>
              </w:rPr>
              <w:t>软件功能模块：具有光谱扫描、吸光度测定、定量（单组份/多组分同时定量）、时间程序测定、动力学测定、再解析、简单宏程序等功能；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1.13</w:t>
            </w:r>
            <w:r>
              <w:rPr>
                <w:rFonts w:ascii="仿宋_GB2312" w:hAnsi="仿宋_GB2312" w:cs="仿宋_GB2312" w:eastAsia="仿宋_GB2312"/>
                <w:sz w:val="24"/>
              </w:rPr>
              <w:t>大气校正功能：可以在扫描过程中自动执行大气校正，以消除水汽和二氧化碳的干扰；</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rPr>
              <w:t>1.14</w:t>
            </w:r>
            <w:r>
              <w:rPr>
                <w:rFonts w:ascii="仿宋_GB2312" w:hAnsi="仿宋_GB2312" w:cs="仿宋_GB2312" w:eastAsia="仿宋_GB2312"/>
                <w:sz w:val="24"/>
              </w:rPr>
              <w:t>硅片透射测试夹具：通光孔径≤10mm，适用样品直径≤25mm，样品厚度≤13mm；</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1.15</w:t>
            </w:r>
            <w:r>
              <w:rPr>
                <w:rFonts w:ascii="仿宋_GB2312" w:hAnsi="仿宋_GB2312" w:cs="仿宋_GB2312" w:eastAsia="仿宋_GB2312"/>
                <w:sz w:val="24"/>
              </w:rPr>
              <w:t>磁性薄膜支架：支架具备磁性，可完成薄膜测试；</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1.16</w:t>
            </w:r>
            <w:r>
              <w:rPr>
                <w:rFonts w:ascii="仿宋_GB2312" w:hAnsi="仿宋_GB2312" w:cs="仿宋_GB2312" w:eastAsia="仿宋_GB2312"/>
                <w:sz w:val="24"/>
              </w:rPr>
              <w:t>红外主机可兼容第三方附件；</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1.17</w:t>
            </w:r>
            <w:r>
              <w:rPr>
                <w:rFonts w:ascii="仿宋_GB2312" w:hAnsi="仿宋_GB2312" w:cs="仿宋_GB2312" w:eastAsia="仿宋_GB2312"/>
                <w:sz w:val="24"/>
              </w:rPr>
              <w:t>光源：高强度长寿命中远红外SiN陶瓷光源；</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★1.18干涉仪：磁悬浮式平面镜干涉仪，自带高速动态自动准直功能。数字化连续动态调整技术，自动准直频率不低于100,000次/秒。非机械角镜式干涉仪，确保长期检测高精度、高稳定，无光谱偏离和失真；</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★1.19光阑精度:≥200档连续可变自动控制光阑，确保高分辨率精确测量；</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★1.20一体化衰减全反射金刚石晶体检测装置(ATR)：不占用样品仓的独立固定模式，金刚石ATR晶体，≥60psi高灵敏测样压力控制，可一键式操作快速检测；</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1.21</w:t>
            </w:r>
            <w:r>
              <w:rPr>
                <w:rFonts w:ascii="仿宋_GB2312" w:hAnsi="仿宋_GB2312" w:cs="仿宋_GB2312" w:eastAsia="仿宋_GB2312"/>
                <w:sz w:val="24"/>
              </w:rPr>
              <w:t>原位变温透射附件要求控温范围不小于室温~500℃，温度控制精度：≤±0.5℃，配备水冷系统；</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1.22</w:t>
            </w:r>
            <w:r>
              <w:rPr>
                <w:rFonts w:ascii="仿宋_GB2312" w:hAnsi="仿宋_GB2312" w:cs="仿宋_GB2312" w:eastAsia="仿宋_GB2312"/>
                <w:sz w:val="24"/>
              </w:rPr>
              <w:t>需配备干燥密封系统：光谱仪样品仓配置防雾化镀层的红外透射密封窗片，具有良好干燥防潮性和维护的简易性。并可按湿度控制需要，选配样品仓自动锁闭系统和智能吹扫控制装置；</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rPr>
              <w:t>1.23</w:t>
            </w:r>
            <w:r>
              <w:rPr>
                <w:rFonts w:ascii="仿宋_GB2312" w:hAnsi="仿宋_GB2312" w:cs="仿宋_GB2312" w:eastAsia="仿宋_GB2312"/>
                <w:sz w:val="24"/>
              </w:rPr>
              <w:t>波数准确性：≤0.01cm</w:t>
            </w:r>
            <w:r>
              <w:rPr>
                <w:rFonts w:ascii="仿宋_GB2312" w:hAnsi="仿宋_GB2312" w:cs="仿宋_GB2312" w:eastAsia="仿宋_GB2312"/>
                <w:sz w:val="24"/>
                <w:vertAlign w:val="superscript"/>
              </w:rPr>
              <w:t>-1</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rPr>
              <w:t>1.24</w:t>
            </w:r>
            <w:r>
              <w:rPr>
                <w:rFonts w:ascii="仿宋_GB2312" w:hAnsi="仿宋_GB2312" w:cs="仿宋_GB2312" w:eastAsia="仿宋_GB2312"/>
                <w:sz w:val="24"/>
              </w:rPr>
              <w:t>全光谱范围线性度：≤0.1%T(按ASTM1421标准方法测试)。</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应用附件：</w:t>
            </w:r>
          </w:p>
          <w:p>
            <w:pPr>
              <w:pStyle w:val="null3"/>
            </w:pPr>
            <w:r>
              <w:rPr>
                <w:rFonts w:ascii="仿宋_GB2312" w:hAnsi="仿宋_GB2312" w:cs="仿宋_GB2312" w:eastAsia="仿宋_GB2312"/>
                <w:sz w:val="24"/>
              </w:rPr>
              <w:t>2.1</w:t>
            </w:r>
            <w:r>
              <w:rPr>
                <w:rFonts w:ascii="仿宋_GB2312" w:hAnsi="仿宋_GB2312" w:cs="仿宋_GB2312" w:eastAsia="仿宋_GB2312"/>
                <w:sz w:val="24"/>
              </w:rPr>
              <w:t>固体制样包：台式实验室压片机1套（≥13吨）,包括溴化钾压片模具、玛瑙研钵和杵、溴化钾粉末、平板模具、溴化钾压片样品架等；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rPr>
              <w:t>2.2</w:t>
            </w:r>
            <w:r>
              <w:rPr>
                <w:rFonts w:ascii="仿宋_GB2312" w:hAnsi="仿宋_GB2312" w:cs="仿宋_GB2312" w:eastAsia="仿宋_GB2312"/>
                <w:sz w:val="24"/>
              </w:rPr>
              <w:t>气体池：10cm气体池，进/出样口活栓式开关；</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rPr>
              <w:t>2.3</w:t>
            </w:r>
            <w:r>
              <w:rPr>
                <w:rFonts w:ascii="仿宋_GB2312" w:hAnsi="仿宋_GB2312" w:cs="仿宋_GB2312" w:eastAsia="仿宋_GB2312"/>
                <w:sz w:val="24"/>
              </w:rPr>
              <w:t>液体制样包：包含液体池，KBr窗片，CaF2窗片，PTFE垫片，注射器，石蜡油等；</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rPr>
              <w:t>2.4</w:t>
            </w:r>
            <w:r>
              <w:rPr>
                <w:rFonts w:ascii="仿宋_GB2312" w:hAnsi="仿宋_GB2312" w:cs="仿宋_GB2312" w:eastAsia="仿宋_GB2312"/>
                <w:sz w:val="24"/>
              </w:rPr>
              <w:t>能测固体样品透射率附件1套，反射率的附件2套（低入射角30°的镜反射装置1套；高入射角80°镜反射装置1套）；</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仪器操作及数据解析软件：</w:t>
            </w:r>
          </w:p>
          <w:p>
            <w:pPr>
              <w:pStyle w:val="null3"/>
            </w:pPr>
            <w:r>
              <w:rPr>
                <w:rFonts w:ascii="仿宋_GB2312" w:hAnsi="仿宋_GB2312" w:cs="仿宋_GB2312" w:eastAsia="仿宋_GB2312"/>
                <w:sz w:val="24"/>
              </w:rPr>
              <w:t xml:space="preserve"> 3.1</w:t>
            </w:r>
            <w:r>
              <w:rPr>
                <w:rFonts w:ascii="仿宋_GB2312" w:hAnsi="仿宋_GB2312" w:cs="仿宋_GB2312" w:eastAsia="仿宋_GB2312"/>
                <w:sz w:val="24"/>
              </w:rPr>
              <w:t>具备光谱检索功能功能，并提供不少于20万条的永久免费使用、非在线付费使用、离线安装在用户电脑的高分辨红外光谱数据库；</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4"/>
              </w:rPr>
              <w:t>3.2</w:t>
            </w:r>
            <w:r>
              <w:rPr>
                <w:rFonts w:ascii="仿宋_GB2312" w:hAnsi="仿宋_GB2312" w:cs="仿宋_GB2312" w:eastAsia="仿宋_GB2312"/>
                <w:sz w:val="24"/>
              </w:rPr>
              <w:t>具备时间程序测定功能，支持三维动力学红外自动检测和数据批处理和分析功能；</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4"/>
              </w:rPr>
              <w:t>3.3</w:t>
            </w:r>
            <w:r>
              <w:rPr>
                <w:rFonts w:ascii="仿宋_GB2312" w:hAnsi="仿宋_GB2312" w:cs="仿宋_GB2312" w:eastAsia="仿宋_GB2312"/>
                <w:sz w:val="24"/>
              </w:rPr>
              <w:t>具备光谱扫描功能；</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rPr>
              <w:t>3.4</w:t>
            </w:r>
            <w:r>
              <w:rPr>
                <w:rFonts w:ascii="仿宋_GB2312" w:hAnsi="仿宋_GB2312" w:cs="仿宋_GB2312" w:eastAsia="仿宋_GB2312"/>
                <w:sz w:val="24"/>
              </w:rPr>
              <w:t>具备定量功能（单组份/多组份同时定量）；</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rPr>
              <w:t>3.5</w:t>
            </w:r>
            <w:r>
              <w:rPr>
                <w:rFonts w:ascii="仿宋_GB2312" w:hAnsi="仿宋_GB2312" w:cs="仿宋_GB2312" w:eastAsia="仿宋_GB2312"/>
                <w:sz w:val="24"/>
              </w:rPr>
              <w:t>具备光度测定功能；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rPr>
              <w:t>3.6</w:t>
            </w:r>
            <w:r>
              <w:rPr>
                <w:rFonts w:ascii="仿宋_GB2312" w:hAnsi="仿宋_GB2312" w:cs="仿宋_GB2312" w:eastAsia="仿宋_GB2312"/>
                <w:sz w:val="24"/>
              </w:rPr>
              <w:t>具备再解析功能；</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数据处理系统：</w:t>
            </w:r>
          </w:p>
          <w:p>
            <w:pPr>
              <w:pStyle w:val="null3"/>
            </w:pPr>
            <w:r>
              <w:rPr>
                <w:rFonts w:ascii="仿宋_GB2312" w:hAnsi="仿宋_GB2312" w:cs="仿宋_GB2312" w:eastAsia="仿宋_GB2312"/>
                <w:sz w:val="24"/>
              </w:rPr>
              <w:t xml:space="preserve"> 4.1</w:t>
            </w:r>
            <w:r>
              <w:rPr>
                <w:rFonts w:ascii="仿宋_GB2312" w:hAnsi="仿宋_GB2312" w:cs="仿宋_GB2312" w:eastAsia="仿宋_GB2312"/>
                <w:sz w:val="24"/>
              </w:rPr>
              <w:t>工作站（需集成预装仪器操作及数据解析软件）：处理器≥8核、主频≥2.10GHZ，内存≥16G，机械硬盘≥1T；</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rPr>
              <w:t>4.2</w:t>
            </w:r>
            <w:r>
              <w:rPr>
                <w:rFonts w:ascii="仿宋_GB2312" w:hAnsi="仿宋_GB2312" w:cs="仿宋_GB2312" w:eastAsia="仿宋_GB2312"/>
                <w:sz w:val="24"/>
              </w:rPr>
              <w:t>显示终端：显示屏≥21.5英寸，分辨率≥1920×1080；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进度款，设备运抵甲方指定地点并经甲方初步查验无误后，达到付款条件起9个工作日内，支付合同总金额的30.0%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进度款，设备安装调试完成，经甲方验收合格并签署《验收合格报告》后，乙方开具全额合法有效的增值税专用发票，达到付款条件起9个工作日内，支付合同总金额的30.0%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招标文件、投标文件及技术澄清文件（函）），《购置合同》（包括合同的配置清单、技术规格资料、技术协议、补充协议等）、装运单据（包括航空、铁路、公路、轮船、邮寄和快递等运单）和装箱清单等； 傅里叶变换红外光谱仪的标准须符合GB/T21186-2007《傅里叶变换红外光谱仪》的要求、试验方法、检验规则、标志、包装、运输及贮存、质量保证等。 （2）验收流程 ①到货初检（采购人、中标人共同参与）： 检查外包装完整性、运输损伤情况； 核对货物型号、数量、规格是否与合同一致； 检查随机文件（合格证、说明书、保修卡等）。 ②安装调试验收 提供并且安排工程技术人员免费进行安装调试及培训验收。 ③性能测试验收（关键指标实测） 连续运行120小时无故障； ④最终验收 设备安装调试完毕、正常运行6个月后。签署《验收报告》，产品保修期自验收合格之日起算，由中标人提供产品保修文件。 （3）中标人安装调试完毕，双方按合同文本及附件进行配件清点及功能认证。 （4）供应商应提供相关设备在安装调试、校验、初始运转中涉及费用（包括试剂、耗材、配件、服务等）应包括在报价中。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此项目为交钥匙项目，供应商提供仪器的现场安装调试并达到技术指标要求的技术性能，满足甲方使用要求，并同时在现场对用户进行操作培训。质保期自仪器验收合格之日起至少壹年。（其中，光源、干涉仪质保不少于10年、激光器质保不少于5年）,质保期内出现任何非人为故意损坏的质量问题，由乙方包换或包退，并承担调换或退货的全部费用。 2、仪器安装运行能正常使用，质保维护及时；售后服务响应时间（质保期内）：即时响应（包括电话响应）；电话响应无法解决24小时内到达现场。修复时间12小时内解决；如在24小时内无法修复，则提供部件冗余服务或采取应急措施，提供相同产品或不低于故障产品规格档次的备用产品供采购人使用，以确保货物的正常使用。 3、中标人终身维修，在保修期外只收配件成本费。 4、制造商为用户提供仪器的基本原理、操作、日常维护及基础分析仪器理论课程，并为用户提供1人次制造商培训中心的上机培训，要求培训后能够熟练使用仪器。同时具备协助客户项目开发、仪器试用等功能。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一、付款方式（因系统编制受限，招标文件中关于付款方式的描述有不一致的地方以此处为准）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二、采购标的的安装调试及配套工程、质量保证、售后服务等要求。 （1）专用工具：提供设备专用的维修工具包； 备品备件：免费提供首年用量20%的易损件。 （2）安装调试要求 调试周期：连续120小时无故障运行测试； 人员培训：提供相关操作人员培训资料。 （3）质量保证 质量追溯：提供原材料来源证明及质量检验报告； 货物要求：以采购人的要求为准，为采购人提供全新的货物（包括零部件）。 （4）售后服务 响应时限：在保修期期间和保修期外，供应商接到用户电话24个工作小时内做出响应，需要到现场解决的，需要在1-3天内到达用户现场，保证提供及时优质的售后服务； 三、产品保修期内，修理、更换、退货要求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技术保障：中标人提供的设备及配套产品，必须是合同规定厂家制造的、合格、全新、未曾使用的产品，产品内部无损坏，外表无磨损，内部包装无破损。必须等同于投标指标，并能按国家标准供应、检测、调试，确保产品技术指标满足使用要求。中标人须保证所提供的货物经正确安装、正常运转和保养，在其使用寿命期内须具有符合质量要求和产品说明书的性能。 四、技术资料及培训要求 1.供应商应提供仪器安装调试后，在现场对用户进行操作培训，培训内容包括仪器的基本原理、操作及一般仪器维护保养知识。 2.供应商需为用户提供仪器的基本原理、操作、日常维护及基础分析仪器理论课程，并为用户提供上机培训。 五、根据《国务院办公厅关于在政府采购中实施本国产品标准及相关政策的通知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企业关联关系声明函 投标保证金缴纳凭证 投标函 投标人资格 其他材料 标的清单 投标人业绩 投标文件封面 投标人基本信息</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投标产品的技术指标满足或高于招标文件要求的，得满分33分。 带“★”标识（共4项）的参数需求为实质性要求，必须响应并满足参数需求。 1、带“▲”号技术指标满分12分，（共4项）有一项不满足扣3分； 2、非“▲”和非“★”号技术参数（共29项）满分21分，每有一项负偏离扣0.75分。 注：对标“▲”和“★”号技术参数供应商必须提供相关技术参数佐证材料（包括但不限于国家认可的检测机构出具的检测报告或制造商检验报告或产品彩页或官网功能截图或技术参数中要求的佐证资料）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投标人提供本项目所投产品的合法来源证明文件，内容包括但不限于产品授权书等，确保所投产品无假货、水货、翻新货且无产权纠纷。 提供合法来源渠道证明文件，得2分；满分2分，未提供不得分。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设备选型方案思路清晰、科学合理、可行性强、完全满足采购人需求得4分； 设备选型方案思路清晰、科学合理、可行性较强、满足采购人需求得3分； 设备选型方案合理完善、可行性较强、基本满足采购人需求得2分； 备选型方案不完整、可行性较差、不能满足采购人需求得1分；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培训方案。 二、评审标准 1、完整性：方案须全面，对评审内容中的各项要求有详细描述； 2、可实施性：切合本项目实际情况，实施步骤清晰、合理； 3、针对性：方案能够紧扣项目实际情况，内容科学合理。 三、赋分依据（满分9分） 上述3项评审内容全部满足评审标准得9分；每有一个评审内容缺项扣3分，扣完为止；每有一项评审内容存在缺陷，扣（0-3）分。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提供投标人自2023年1月1日至投标文件递交截止时间前（以合同签订时间为准）同类项目业绩，需提供完整且清晰有效的合同复印件，每提供一份完整资料得2分，最多得6分。未提供得0分。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