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版本号：SDX-CS-F-26（0279）20260709001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关于购置新院第三方检测服务项目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SDX-CS-F-26（0279）</w:t>
      </w:r>
      <w:r>
        <w:br/>
      </w:r>
      <w:r>
        <w:br/>
      </w:r>
      <w:r>
        <w:br/>
      </w:r>
    </w:p>
    <w:p>
      <w:pPr>
        <w:pStyle w:val="null3"/>
        <w:jc w:val="center"/>
        <w:outlineLvl w:val="2"/>
      </w:pPr>
      <w:r>
        <w:rPr>
          <w:rFonts w:ascii="仿宋_GB2312" w:hAnsi="仿宋_GB2312" w:cs="仿宋_GB2312" w:eastAsia="仿宋_GB2312"/>
          <w:sz w:val="28"/>
          <w:b/>
        </w:rPr>
        <w:t>富平县医院</w:t>
      </w:r>
    </w:p>
    <w:p>
      <w:pPr>
        <w:pStyle w:val="null3"/>
        <w:jc w:val="center"/>
        <w:outlineLvl w:val="2"/>
      </w:pPr>
      <w:r>
        <w:rPr>
          <w:rFonts w:ascii="仿宋_GB2312" w:hAnsi="仿宋_GB2312" w:cs="仿宋_GB2312" w:eastAsia="仿宋_GB2312"/>
          <w:sz w:val="28"/>
          <w:b/>
        </w:rPr>
        <w:t>陕西电通兴达咨询管理有限责任公司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陕西电通兴达咨询管理有限责任公司</w:t>
      </w:r>
      <w:r>
        <w:rPr>
          <w:rFonts w:ascii="仿宋_GB2312" w:hAnsi="仿宋_GB2312" w:cs="仿宋_GB2312" w:eastAsia="仿宋_GB2312"/>
        </w:rPr>
        <w:t>（以下简称“代理机构”）受</w:t>
      </w:r>
      <w:r>
        <w:rPr>
          <w:rFonts w:ascii="仿宋_GB2312" w:hAnsi="仿宋_GB2312" w:cs="仿宋_GB2312" w:eastAsia="仿宋_GB2312"/>
        </w:rPr>
        <w:t>富平县医院</w:t>
      </w:r>
      <w:r>
        <w:rPr>
          <w:rFonts w:ascii="仿宋_GB2312" w:hAnsi="仿宋_GB2312" w:cs="仿宋_GB2312" w:eastAsia="仿宋_GB2312"/>
        </w:rPr>
        <w:t>委托，拟对</w:t>
      </w:r>
      <w:r>
        <w:rPr>
          <w:rFonts w:ascii="仿宋_GB2312" w:hAnsi="仿宋_GB2312" w:cs="仿宋_GB2312" w:eastAsia="仿宋_GB2312"/>
        </w:rPr>
        <w:t>关于购置新院第三方检测服务项目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SDX-CS-F-26（0279）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关于购置新院第三方检测服务项目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县医院关于购置新院第三方检测服务，具体内容详见采购文件。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采购包1（关于购置新院第三方检测服务项目）：属于专门面向中小企业采购。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提供2024年度或2025年度财务审计报告（成立时间至提交投标文件截止时间不足一年的可提供成立后任意时段的资产负债表），或其基本存款账户开户银行出具的资信证明（三个月内）及基本存款账户开户许可证（或基本账户备案证明）</w:t>
      </w:r>
    </w:p>
    <w:p>
      <w:pPr>
        <w:pStyle w:val="null3"/>
      </w:pPr>
      <w:r>
        <w:rPr>
          <w:rFonts w:ascii="仿宋_GB2312" w:hAnsi="仿宋_GB2312" w:cs="仿宋_GB2312" w:eastAsia="仿宋_GB2312"/>
        </w:rPr>
        <w:t>3、税收缴纳证明：须提供依法缴纳税收的良好记录：提供投标截止时间前一年内已缴纳的至少一个月纳税凭证或完税证明，依法免税的单位应提供相关证明材料</w:t>
      </w:r>
    </w:p>
    <w:p>
      <w:pPr>
        <w:pStyle w:val="null3"/>
      </w:pPr>
      <w:r>
        <w:rPr>
          <w:rFonts w:ascii="仿宋_GB2312" w:hAnsi="仿宋_GB2312" w:cs="仿宋_GB2312" w:eastAsia="仿宋_GB2312"/>
        </w:rPr>
        <w:t>4、社保缴纳证明：须提供依法社会保障资金的良好记录：提供投标截止时间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5、无重大违法记录的书面声明：提供近三年内在经营活动中无重大违法记录的书面声明</w:t>
      </w:r>
    </w:p>
    <w:p>
      <w:pPr>
        <w:pStyle w:val="null3"/>
      </w:pPr>
      <w:r>
        <w:rPr>
          <w:rFonts w:ascii="仿宋_GB2312" w:hAnsi="仿宋_GB2312" w:cs="仿宋_GB2312" w:eastAsia="仿宋_GB2312"/>
        </w:rPr>
        <w:t>6、专业技术能力的承诺函：提供具备履行本合同所必需的设备和专业技术能力的说明及承诺</w:t>
      </w:r>
    </w:p>
    <w:p>
      <w:pPr>
        <w:pStyle w:val="null3"/>
      </w:pPr>
      <w:r>
        <w:rPr>
          <w:rFonts w:ascii="仿宋_GB2312" w:hAnsi="仿宋_GB2312" w:cs="仿宋_GB2312" w:eastAsia="仿宋_GB2312"/>
        </w:rPr>
        <w:t>7、法定代表人授权委托书：提供法定代表人授权委托书原件（附法定代表人、被授权人身份证复印件）及被授权人身份证原件（法定代表人参会只须提供其身份证原件）</w:t>
      </w:r>
    </w:p>
    <w:p>
      <w:pPr>
        <w:pStyle w:val="null3"/>
      </w:pPr>
      <w:r>
        <w:rPr>
          <w:rFonts w:ascii="仿宋_GB2312" w:hAnsi="仿宋_GB2312" w:cs="仿宋_GB2312" w:eastAsia="仿宋_GB2312"/>
        </w:rPr>
        <w:t>8、信用中国等网站信用查询截图：供应商在投标截止日前未被列入失信被执行人、重大税收违法案件当事人名单、政府采购严重违法失信行为记录名单（处罚期限届满的除外（以“信用中国”网站（www.creditchina.gov.cn）查询结果为准）；中国政府采购网（www.ccgp.gov.cn）提供政府采购严重违法失信行为记录名单（处罚期限届满的除外）网站截图并加盖单位公章</w:t>
      </w:r>
    </w:p>
    <w:p>
      <w:pPr>
        <w:pStyle w:val="null3"/>
      </w:pPr>
      <w:r>
        <w:rPr>
          <w:rFonts w:ascii="仿宋_GB2312" w:hAnsi="仿宋_GB2312" w:cs="仿宋_GB2312" w:eastAsia="仿宋_GB2312"/>
        </w:rPr>
        <w:t>9、控股管理关系声明函：单位负责人为同一人或者存在直接控股、管理关系的不同供应商，不得参加同一合同项下的政府采购活动的书面声明</w:t>
      </w:r>
    </w:p>
    <w:p>
      <w:pPr>
        <w:pStyle w:val="null3"/>
      </w:pPr>
      <w:r>
        <w:rPr>
          <w:rFonts w:ascii="仿宋_GB2312" w:hAnsi="仿宋_GB2312" w:cs="仿宋_GB2312" w:eastAsia="仿宋_GB2312"/>
        </w:rPr>
        <w:t>10、供应商资质要求：供应商须同时具有以下两项证书：（1）建设行政主管部门颁发的有效期限内的建设工程质量检测机构综合资质证书或专项资质证书（专项资质证书中检测专项应包括建筑材料及构配件、主体结构及装饰装修、建筑节能、建筑幕墙）；（2）供应商应具有行政主管部门颁发的有效的检验检测机构资质认定证书（CMA）。</w:t>
      </w:r>
    </w:p>
    <w:p>
      <w:pPr>
        <w:pStyle w:val="null3"/>
      </w:pPr>
      <w:r>
        <w:rPr>
          <w:rFonts w:ascii="仿宋_GB2312" w:hAnsi="仿宋_GB2312" w:cs="仿宋_GB2312" w:eastAsia="仿宋_GB2312"/>
        </w:rPr>
        <w:t>11、项目负责人要求：项目负责人具备工程类高级及以上技术职称，且在本单位任职。</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富平县医院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富平县杜村东街8号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富平县医院经办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13892334938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陕西电通兴达咨询管理有限责任公司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陕西省西安市莲湖区南二环西段395号亚美伟博广场8楼808室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张妮妮、党艳红、王卉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029-89850151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采购包1保证金金额：7,000.00元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开户名称：陕西电通兴达咨询管理有限责任公司</w:t>
            </w:r>
          </w:p>
          <w:p>
            <w:pPr>
              <w:pStyle w:val="null3"/>
            </w:pPr>
            <w:r>
              <w:rPr>
                <w:rFonts w:ascii="仿宋_GB2312" w:hAnsi="仿宋_GB2312" w:cs="仿宋_GB2312" w:eastAsia="仿宋_GB2312"/>
              </w:rPr>
              <w:t>开户银行：中国民生银行股份有限公司西安分行营业部</w:t>
            </w:r>
          </w:p>
          <w:p>
            <w:pPr>
              <w:pStyle w:val="null3"/>
            </w:pPr>
            <w:r>
              <w:rPr>
                <w:rFonts w:ascii="仿宋_GB2312" w:hAnsi="仿宋_GB2312" w:cs="仿宋_GB2312" w:eastAsia="仿宋_GB2312"/>
              </w:rPr>
              <w:t>银行账号：644422105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前国家计委颁布的«招标代理服务收费管理暂行办法»（计价格[2002]1980号）和国家发改委办公厅颁布的«国家发改委办公厅关于招标代理服务收费有关问题的通知»（发改办价格[2011]534号）的规定标准下浮20%计取。支付方式：在领取成交通知书前一次性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富平县医院</w:t>
      </w:r>
      <w:r>
        <w:rPr>
          <w:rFonts w:ascii="仿宋_GB2312" w:hAnsi="仿宋_GB2312" w:cs="仿宋_GB2312" w:eastAsia="仿宋_GB2312"/>
        </w:rPr>
        <w:t>和</w:t>
      </w:r>
      <w:r>
        <w:rPr>
          <w:rFonts w:ascii="仿宋_GB2312" w:hAnsi="仿宋_GB2312" w:cs="仿宋_GB2312" w:eastAsia="仿宋_GB2312"/>
        </w:rPr>
        <w:t>陕西电通兴达咨询管理有限责任公司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富平县医院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陕西电通兴达咨询管理有限责任公司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富平县医院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陕西电通兴达咨询管理有限责任公司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陕西电通兴达咨询管理有限责任公司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陕西电通兴达咨询管理有限责任公司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陕西电通兴达咨询管理有限责任公司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联系人：张妮妮、党艳红、王卉</w:t>
      </w:r>
    </w:p>
    <w:p>
      <w:pPr>
        <w:pStyle w:val="null3"/>
      </w:pPr>
      <w:r>
        <w:rPr>
          <w:rFonts w:ascii="仿宋_GB2312" w:hAnsi="仿宋_GB2312" w:cs="仿宋_GB2312" w:eastAsia="仿宋_GB2312"/>
        </w:rPr>
        <w:t>联系电话：029-89850151</w:t>
      </w:r>
    </w:p>
    <w:p>
      <w:pPr>
        <w:pStyle w:val="null3"/>
      </w:pPr>
      <w:r>
        <w:rPr>
          <w:rFonts w:ascii="仿宋_GB2312" w:hAnsi="仿宋_GB2312" w:cs="仿宋_GB2312" w:eastAsia="仿宋_GB2312"/>
        </w:rPr>
        <w:t>地址：西安市莲湖区二环南路西段395号亚美伟博广场808室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县医院关于购置新院第三方检测服务项目，具体内容详见采购文件。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购置新院第三方检测服务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标的名称：购置新院第三方检测服务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rPr>
              <w:t>1、项目名称：关于购置新院第三方检测服务项目</w:t>
            </w:r>
          </w:p>
          <w:p>
            <w:pPr>
              <w:pStyle w:val="null3"/>
              <w:jc w:val="left"/>
            </w:pPr>
            <w:r>
              <w:rPr>
                <w:rFonts w:ascii="仿宋_GB2312" w:hAnsi="仿宋_GB2312" w:cs="仿宋_GB2312" w:eastAsia="仿宋_GB2312"/>
                <w:sz w:val="24"/>
              </w:rPr>
              <w:t>2、服务期限：</w:t>
            </w:r>
            <w:r>
              <w:rPr>
                <w:rFonts w:ascii="仿宋_GB2312" w:hAnsi="仿宋_GB2312" w:cs="仿宋_GB2312" w:eastAsia="仿宋_GB2312"/>
                <w:sz w:val="24"/>
              </w:rPr>
              <w:t>自合同生效之日起至本项目委托范围内全部检测工作完成、检测报告全部出具并提交采购人，且通过竣工验收、合同款项全部结清之日止。</w:t>
            </w:r>
          </w:p>
          <w:p>
            <w:pPr>
              <w:pStyle w:val="null3"/>
              <w:jc w:val="left"/>
            </w:pPr>
            <w:r>
              <w:rPr>
                <w:rFonts w:ascii="仿宋_GB2312" w:hAnsi="仿宋_GB2312" w:cs="仿宋_GB2312" w:eastAsia="仿宋_GB2312"/>
                <w:sz w:val="24"/>
              </w:rPr>
              <w:t>3、服务地点：采购人指定地点。</w:t>
            </w:r>
          </w:p>
          <w:p>
            <w:pPr>
              <w:pStyle w:val="null3"/>
              <w:jc w:val="left"/>
            </w:pPr>
            <w:r>
              <w:rPr>
                <w:rFonts w:ascii="仿宋_GB2312" w:hAnsi="仿宋_GB2312" w:cs="仿宋_GB2312" w:eastAsia="仿宋_GB2312"/>
                <w:sz w:val="24"/>
              </w:rPr>
              <w:t>4、服务内容：</w:t>
            </w:r>
            <w:r>
              <w:rPr>
                <w:rFonts w:ascii="仿宋_GB2312" w:hAnsi="仿宋_GB2312" w:cs="仿宋_GB2312" w:eastAsia="仿宋_GB2312"/>
                <w:sz w:val="24"/>
              </w:rPr>
              <w:t>县医院关于购置新院第三方检测服务项目</w:t>
            </w:r>
            <w:r>
              <w:rPr>
                <w:rFonts w:ascii="仿宋_GB2312" w:hAnsi="仿宋_GB2312" w:cs="仿宋_GB2312" w:eastAsia="仿宋_GB2312"/>
                <w:sz w:val="24"/>
              </w:rPr>
              <w:t>，</w:t>
            </w:r>
            <w:r>
              <w:rPr>
                <w:rFonts w:ascii="仿宋_GB2312" w:hAnsi="仿宋_GB2312" w:cs="仿宋_GB2312" w:eastAsia="仿宋_GB2312"/>
                <w:sz w:val="24"/>
              </w:rPr>
              <w:t>主要功能或目标：达到院方要求和国家相关标准规定。</w:t>
            </w:r>
          </w:p>
          <w:p>
            <w:pPr>
              <w:pStyle w:val="null3"/>
              <w:jc w:val="left"/>
            </w:pPr>
            <w:r>
              <w:rPr>
                <w:rFonts w:ascii="仿宋_GB2312" w:hAnsi="仿宋_GB2312" w:cs="仿宋_GB2312" w:eastAsia="仿宋_GB2312"/>
                <w:sz w:val="24"/>
              </w:rPr>
              <w:t>5、项目预算：70万元</w:t>
            </w:r>
          </w:p>
          <w:p>
            <w:pPr>
              <w:pStyle w:val="null3"/>
              <w:jc w:val="left"/>
            </w:pPr>
            <w:r>
              <w:rPr>
                <w:rFonts w:ascii="仿宋_GB2312" w:hAnsi="仿宋_GB2312" w:cs="仿宋_GB2312" w:eastAsia="仿宋_GB2312"/>
                <w:sz w:val="24"/>
              </w:rPr>
              <w:t>6、服务标准：</w:t>
            </w:r>
          </w:p>
          <w:p>
            <w:pPr>
              <w:pStyle w:val="null3"/>
              <w:jc w:val="left"/>
            </w:pPr>
            <w:r>
              <w:rPr>
                <w:rFonts w:ascii="仿宋_GB2312" w:hAnsi="仿宋_GB2312" w:cs="仿宋_GB2312" w:eastAsia="仿宋_GB2312"/>
                <w:sz w:val="24"/>
              </w:rPr>
              <w:t>《建筑节能工程施工质量验收规范》</w:t>
            </w:r>
            <w:r>
              <w:rPr>
                <w:rFonts w:ascii="仿宋_GB2312" w:hAnsi="仿宋_GB2312" w:cs="仿宋_GB2312" w:eastAsia="仿宋_GB2312"/>
                <w:sz w:val="24"/>
              </w:rPr>
              <w:t>GB50411-2019</w:t>
            </w:r>
          </w:p>
          <w:p>
            <w:pPr>
              <w:pStyle w:val="null3"/>
              <w:jc w:val="left"/>
            </w:pPr>
            <w:r>
              <w:rPr>
                <w:rFonts w:ascii="仿宋_GB2312" w:hAnsi="仿宋_GB2312" w:cs="仿宋_GB2312" w:eastAsia="仿宋_GB2312"/>
                <w:sz w:val="24"/>
              </w:rPr>
              <w:t>《照明测量方法》</w:t>
            </w:r>
            <w:r>
              <w:rPr>
                <w:rFonts w:ascii="仿宋_GB2312" w:hAnsi="仿宋_GB2312" w:cs="仿宋_GB2312" w:eastAsia="仿宋_GB2312"/>
                <w:sz w:val="24"/>
              </w:rPr>
              <w:t>GB/T5700-2023</w:t>
            </w:r>
          </w:p>
          <w:p>
            <w:pPr>
              <w:pStyle w:val="null3"/>
              <w:jc w:val="left"/>
            </w:pPr>
            <w:r>
              <w:rPr>
                <w:rFonts w:ascii="仿宋_GB2312" w:hAnsi="仿宋_GB2312" w:cs="仿宋_GB2312" w:eastAsia="仿宋_GB2312"/>
                <w:sz w:val="24"/>
              </w:rPr>
              <w:t>《建筑幕墙、门窗通用技术条件》</w:t>
            </w:r>
            <w:r>
              <w:rPr>
                <w:rFonts w:ascii="仿宋_GB2312" w:hAnsi="仿宋_GB2312" w:cs="仿宋_GB2312" w:eastAsia="仿宋_GB2312"/>
                <w:sz w:val="24"/>
              </w:rPr>
              <w:t>GB/T 31433-2015</w:t>
            </w:r>
          </w:p>
          <w:p>
            <w:pPr>
              <w:pStyle w:val="null3"/>
              <w:jc w:val="left"/>
            </w:pPr>
            <w:r>
              <w:rPr>
                <w:rFonts w:ascii="仿宋_GB2312" w:hAnsi="仿宋_GB2312" w:cs="仿宋_GB2312" w:eastAsia="仿宋_GB2312"/>
                <w:sz w:val="24"/>
              </w:rPr>
              <w:t>《建筑外门窗气密、水密、抗风压性能检测方法》</w:t>
            </w:r>
            <w:r>
              <w:rPr>
                <w:rFonts w:ascii="仿宋_GB2312" w:hAnsi="仿宋_GB2312" w:cs="仿宋_GB2312" w:eastAsia="仿宋_GB2312"/>
                <w:sz w:val="24"/>
              </w:rPr>
              <w:t>GB/T7106-2019</w:t>
            </w:r>
          </w:p>
          <w:p>
            <w:pPr>
              <w:pStyle w:val="null3"/>
              <w:jc w:val="left"/>
            </w:pPr>
            <w:r>
              <w:rPr>
                <w:rFonts w:ascii="仿宋_GB2312" w:hAnsi="仿宋_GB2312" w:cs="仿宋_GB2312" w:eastAsia="仿宋_GB2312"/>
                <w:sz w:val="24"/>
              </w:rPr>
              <w:t>《电线电缆电性能试验方法</w:t>
            </w:r>
            <w:r>
              <w:rPr>
                <w:rFonts w:ascii="仿宋_GB2312" w:hAnsi="仿宋_GB2312" w:cs="仿宋_GB2312" w:eastAsia="仿宋_GB2312"/>
                <w:sz w:val="24"/>
              </w:rPr>
              <w:t>第</w:t>
            </w:r>
            <w:r>
              <w:rPr>
                <w:rFonts w:ascii="仿宋_GB2312" w:hAnsi="仿宋_GB2312" w:cs="仿宋_GB2312" w:eastAsia="仿宋_GB2312"/>
                <w:sz w:val="24"/>
              </w:rPr>
              <w:t>4部分：导体直流电阻试验》GB/T3048.4-2025</w:t>
            </w:r>
          </w:p>
          <w:p>
            <w:pPr>
              <w:pStyle w:val="null3"/>
              <w:jc w:val="left"/>
            </w:pPr>
            <w:r>
              <w:rPr>
                <w:rFonts w:ascii="仿宋_GB2312" w:hAnsi="仿宋_GB2312" w:cs="仿宋_GB2312" w:eastAsia="仿宋_GB2312"/>
                <w:sz w:val="24"/>
              </w:rPr>
              <w:t>《额定电压</w:t>
            </w:r>
            <w:r>
              <w:rPr>
                <w:rFonts w:ascii="仿宋_GB2312" w:hAnsi="仿宋_GB2312" w:cs="仿宋_GB2312" w:eastAsia="仿宋_GB2312"/>
                <w:sz w:val="24"/>
              </w:rPr>
              <w:t>450/750V及以下聚氯乙烯绝缘电缆 第2部分：试验方法》GB/T 5023.2-2008</w:t>
            </w:r>
          </w:p>
          <w:p>
            <w:pPr>
              <w:pStyle w:val="null3"/>
              <w:jc w:val="left"/>
            </w:pPr>
            <w:r>
              <w:rPr>
                <w:rFonts w:ascii="仿宋_GB2312" w:hAnsi="仿宋_GB2312" w:cs="仿宋_GB2312" w:eastAsia="仿宋_GB2312"/>
                <w:sz w:val="24"/>
              </w:rPr>
              <w:t>《建筑密封材料试验方法第</w:t>
            </w:r>
            <w:r>
              <w:rPr>
                <w:rFonts w:ascii="仿宋_GB2312" w:hAnsi="仿宋_GB2312" w:cs="仿宋_GB2312" w:eastAsia="仿宋_GB2312"/>
                <w:sz w:val="24"/>
              </w:rPr>
              <w:t xml:space="preserve">18部分：剥离粘结性的测定》GB13477.18-2002                       </w:t>
            </w:r>
          </w:p>
          <w:p>
            <w:pPr>
              <w:pStyle w:val="null3"/>
              <w:jc w:val="left"/>
            </w:pPr>
            <w:r>
              <w:rPr>
                <w:rFonts w:ascii="仿宋_GB2312" w:hAnsi="仿宋_GB2312" w:cs="仿宋_GB2312" w:eastAsia="仿宋_GB2312"/>
                <w:sz w:val="24"/>
              </w:rPr>
              <w:t>《建筑用硅酮结构密封胶》</w:t>
            </w:r>
            <w:r>
              <w:rPr>
                <w:rFonts w:ascii="仿宋_GB2312" w:hAnsi="仿宋_GB2312" w:cs="仿宋_GB2312" w:eastAsia="仿宋_GB2312"/>
                <w:sz w:val="24"/>
              </w:rPr>
              <w:t>GB16776-2025</w:t>
            </w:r>
          </w:p>
          <w:p>
            <w:pPr>
              <w:pStyle w:val="null3"/>
              <w:jc w:val="left"/>
            </w:pPr>
            <w:r>
              <w:rPr>
                <w:rFonts w:ascii="仿宋_GB2312" w:hAnsi="仿宋_GB2312" w:cs="仿宋_GB2312" w:eastAsia="仿宋_GB2312"/>
                <w:sz w:val="24"/>
              </w:rPr>
              <w:t>《建筑密封材料试验方法第</w:t>
            </w:r>
            <w:r>
              <w:rPr>
                <w:rFonts w:ascii="仿宋_GB2312" w:hAnsi="仿宋_GB2312" w:cs="仿宋_GB2312" w:eastAsia="仿宋_GB2312"/>
                <w:sz w:val="24"/>
              </w:rPr>
              <w:t xml:space="preserve">8部分：拉伸粘结性的测定》GB/T13477.8-2017  </w:t>
            </w:r>
          </w:p>
          <w:p>
            <w:pPr>
              <w:pStyle w:val="null3"/>
              <w:jc w:val="left"/>
            </w:pPr>
            <w:r>
              <w:rPr>
                <w:rFonts w:ascii="仿宋_GB2312" w:hAnsi="仿宋_GB2312" w:cs="仿宋_GB2312" w:eastAsia="仿宋_GB2312"/>
                <w:sz w:val="24"/>
              </w:rPr>
              <w:t>《石材用建筑密封胶》</w:t>
            </w:r>
            <w:r>
              <w:rPr>
                <w:rFonts w:ascii="仿宋_GB2312" w:hAnsi="仿宋_GB2312" w:cs="仿宋_GB2312" w:eastAsia="仿宋_GB2312"/>
                <w:sz w:val="24"/>
              </w:rPr>
              <w:t>GB/T23261-2009</w:t>
            </w:r>
          </w:p>
          <w:p>
            <w:pPr>
              <w:pStyle w:val="null3"/>
              <w:jc w:val="left"/>
            </w:pPr>
            <w:r>
              <w:rPr>
                <w:rFonts w:ascii="仿宋_GB2312" w:hAnsi="仿宋_GB2312" w:cs="仿宋_GB2312" w:eastAsia="仿宋_GB2312"/>
                <w:sz w:val="24"/>
              </w:rPr>
              <w:t>《硫化橡胶或热塑性橡胶压入式硬度试验方法</w:t>
            </w:r>
            <w:r>
              <w:rPr>
                <w:rFonts w:ascii="仿宋_GB2312" w:hAnsi="仿宋_GB2312" w:cs="仿宋_GB2312" w:eastAsia="仿宋_GB2312"/>
                <w:sz w:val="24"/>
              </w:rPr>
              <w:t>第</w:t>
            </w:r>
            <w:r>
              <w:rPr>
                <w:rFonts w:ascii="仿宋_GB2312" w:hAnsi="仿宋_GB2312" w:cs="仿宋_GB2312" w:eastAsia="仿宋_GB2312"/>
                <w:sz w:val="24"/>
              </w:rPr>
              <w:t xml:space="preserve">1部分：邵氏硬度计法（邵尔硬度）》GB/T531.1-2008                                                                             </w:t>
            </w:r>
          </w:p>
          <w:p>
            <w:pPr>
              <w:pStyle w:val="null3"/>
              <w:jc w:val="left"/>
            </w:pPr>
            <w:r>
              <w:rPr>
                <w:rFonts w:ascii="仿宋_GB2312" w:hAnsi="仿宋_GB2312" w:cs="仿宋_GB2312" w:eastAsia="仿宋_GB2312"/>
                <w:sz w:val="24"/>
              </w:rPr>
              <w:t>《硫化橡胶或热塑性橡胶 硬度的测定第4部分：用邵氏硬度计法（邵尔硬度）测定压入硬度》 GB/T 39693.4-2025</w:t>
            </w:r>
          </w:p>
          <w:p>
            <w:pPr>
              <w:pStyle w:val="null3"/>
              <w:jc w:val="left"/>
            </w:pPr>
            <w:r>
              <w:rPr>
                <w:rFonts w:ascii="仿宋_GB2312" w:hAnsi="仿宋_GB2312" w:cs="仿宋_GB2312" w:eastAsia="仿宋_GB2312"/>
                <w:sz w:val="24"/>
              </w:rPr>
              <w:t>《建筑玻璃</w:t>
            </w:r>
            <w:r>
              <w:rPr>
                <w:rFonts w:ascii="仿宋_GB2312" w:hAnsi="仿宋_GB2312" w:cs="仿宋_GB2312" w:eastAsia="仿宋_GB2312"/>
                <w:sz w:val="24"/>
              </w:rPr>
              <w:t>可见光透射比、太阳光直接投射比、太阳能总透射比、紫外线透射比及有关窗玻璃参数的测定》</w:t>
            </w:r>
            <w:r>
              <w:rPr>
                <w:rFonts w:ascii="仿宋_GB2312" w:hAnsi="仿宋_GB2312" w:cs="仿宋_GB2312" w:eastAsia="仿宋_GB2312"/>
                <w:sz w:val="24"/>
              </w:rPr>
              <w:t>GB/T2680-2021</w:t>
            </w:r>
          </w:p>
          <w:p>
            <w:pPr>
              <w:pStyle w:val="null3"/>
              <w:jc w:val="left"/>
            </w:pPr>
            <w:r>
              <w:rPr>
                <w:rFonts w:ascii="仿宋_GB2312" w:hAnsi="仿宋_GB2312" w:cs="仿宋_GB2312" w:eastAsia="仿宋_GB2312"/>
                <w:sz w:val="24"/>
              </w:rPr>
              <w:t>《建筑外门窗保温性能检测方法》</w:t>
            </w:r>
            <w:r>
              <w:rPr>
                <w:rFonts w:ascii="仿宋_GB2312" w:hAnsi="仿宋_GB2312" w:cs="仿宋_GB2312" w:eastAsia="仿宋_GB2312"/>
                <w:sz w:val="24"/>
              </w:rPr>
              <w:t>GB/T8484-2020</w:t>
            </w:r>
          </w:p>
          <w:p>
            <w:pPr>
              <w:pStyle w:val="null3"/>
              <w:jc w:val="left"/>
            </w:pPr>
            <w:r>
              <w:rPr>
                <w:rFonts w:ascii="仿宋_GB2312" w:hAnsi="仿宋_GB2312" w:cs="仿宋_GB2312" w:eastAsia="仿宋_GB2312"/>
                <w:sz w:val="24"/>
              </w:rPr>
              <w:t>《混凝土结构后锚固技术规程》</w:t>
            </w:r>
            <w:r>
              <w:rPr>
                <w:rFonts w:ascii="仿宋_GB2312" w:hAnsi="仿宋_GB2312" w:cs="仿宋_GB2312" w:eastAsia="仿宋_GB2312"/>
                <w:sz w:val="24"/>
              </w:rPr>
              <w:t>JGJ145-2013</w:t>
            </w:r>
          </w:p>
          <w:p>
            <w:pPr>
              <w:pStyle w:val="null3"/>
              <w:jc w:val="left"/>
            </w:pPr>
            <w:r>
              <w:rPr>
                <w:rFonts w:ascii="仿宋_GB2312" w:hAnsi="仿宋_GB2312" w:cs="仿宋_GB2312" w:eastAsia="仿宋_GB2312"/>
                <w:sz w:val="24"/>
              </w:rPr>
              <w:t>《民用建筑隔声设计规范》</w:t>
            </w:r>
            <w:r>
              <w:rPr>
                <w:rFonts w:ascii="仿宋_GB2312" w:hAnsi="仿宋_GB2312" w:cs="仿宋_GB2312" w:eastAsia="仿宋_GB2312"/>
                <w:sz w:val="24"/>
              </w:rPr>
              <w:t>GB 50118-2010</w:t>
            </w:r>
          </w:p>
          <w:p>
            <w:pPr>
              <w:pStyle w:val="null3"/>
              <w:jc w:val="left"/>
            </w:pPr>
            <w:r>
              <w:rPr>
                <w:rFonts w:ascii="仿宋_GB2312" w:hAnsi="仿宋_GB2312" w:cs="仿宋_GB2312" w:eastAsia="仿宋_GB2312"/>
                <w:sz w:val="24"/>
              </w:rPr>
              <w:t>《中空玻璃》</w:t>
            </w:r>
            <w:r>
              <w:rPr>
                <w:rFonts w:ascii="仿宋_GB2312" w:hAnsi="仿宋_GB2312" w:cs="仿宋_GB2312" w:eastAsia="仿宋_GB2312"/>
                <w:sz w:val="24"/>
              </w:rPr>
              <w:t>GB/T11944-2025</w:t>
            </w:r>
          </w:p>
          <w:p>
            <w:pPr>
              <w:pStyle w:val="null3"/>
              <w:jc w:val="left"/>
            </w:pPr>
            <w:r>
              <w:rPr>
                <w:rFonts w:ascii="仿宋_GB2312" w:hAnsi="仿宋_GB2312" w:cs="仿宋_GB2312" w:eastAsia="仿宋_GB2312"/>
                <w:sz w:val="24"/>
              </w:rPr>
              <w:t>《外墙保温用锚栓》</w:t>
            </w:r>
            <w:r>
              <w:rPr>
                <w:rFonts w:ascii="仿宋_GB2312" w:hAnsi="仿宋_GB2312" w:cs="仿宋_GB2312" w:eastAsia="仿宋_GB2312"/>
                <w:sz w:val="24"/>
              </w:rPr>
              <w:t>JG/T366-2012</w:t>
            </w:r>
          </w:p>
          <w:p>
            <w:pPr>
              <w:pStyle w:val="null3"/>
              <w:jc w:val="left"/>
            </w:pPr>
            <w:r>
              <w:rPr>
                <w:rFonts w:ascii="仿宋_GB2312" w:hAnsi="仿宋_GB2312" w:cs="仿宋_GB2312" w:eastAsia="仿宋_GB2312"/>
                <w:sz w:val="24"/>
              </w:rPr>
              <w:t>《建筑外窗气密、水密、抗风压性能现场检测方法》</w:t>
            </w:r>
            <w:r>
              <w:rPr>
                <w:rFonts w:ascii="仿宋_GB2312" w:hAnsi="仿宋_GB2312" w:cs="仿宋_GB2312" w:eastAsia="仿宋_GB2312"/>
                <w:sz w:val="24"/>
              </w:rPr>
              <w:t>JG/T211-2007</w:t>
            </w:r>
          </w:p>
          <w:p>
            <w:pPr>
              <w:pStyle w:val="null3"/>
              <w:jc w:val="left"/>
            </w:pPr>
            <w:r>
              <w:rPr>
                <w:rFonts w:ascii="仿宋_GB2312" w:hAnsi="仿宋_GB2312" w:cs="仿宋_GB2312" w:eastAsia="仿宋_GB2312"/>
                <w:sz w:val="24"/>
              </w:rPr>
              <w:t>《模塑聚苯板薄抹灰外墙外保温系统材料》</w:t>
            </w:r>
            <w:r>
              <w:rPr>
                <w:rFonts w:ascii="仿宋_GB2312" w:hAnsi="仿宋_GB2312" w:cs="仿宋_GB2312" w:eastAsia="仿宋_GB2312"/>
                <w:sz w:val="24"/>
              </w:rPr>
              <w:t>GB/T 29906-2013</w:t>
            </w:r>
          </w:p>
          <w:p>
            <w:pPr>
              <w:pStyle w:val="null3"/>
              <w:jc w:val="left"/>
            </w:pPr>
            <w:r>
              <w:rPr>
                <w:rFonts w:ascii="仿宋_GB2312" w:hAnsi="仿宋_GB2312" w:cs="仿宋_GB2312" w:eastAsia="仿宋_GB2312"/>
                <w:sz w:val="24"/>
              </w:rPr>
              <w:t>《岩棉薄抹灰外墙外保温系统材料》</w:t>
            </w:r>
            <w:r>
              <w:rPr>
                <w:rFonts w:ascii="仿宋_GB2312" w:hAnsi="仿宋_GB2312" w:cs="仿宋_GB2312" w:eastAsia="仿宋_GB2312"/>
                <w:sz w:val="24"/>
              </w:rPr>
              <w:t>JG/T 483-2015</w:t>
            </w:r>
          </w:p>
          <w:p>
            <w:pPr>
              <w:pStyle w:val="null3"/>
              <w:jc w:val="left"/>
            </w:pPr>
            <w:r>
              <w:rPr>
                <w:rFonts w:ascii="仿宋_GB2312" w:hAnsi="仿宋_GB2312" w:cs="仿宋_GB2312" w:eastAsia="仿宋_GB2312"/>
                <w:sz w:val="24"/>
              </w:rPr>
              <w:t>《绝热用模塑聚苯乙烯泡沫塑料》</w:t>
            </w:r>
            <w:r>
              <w:rPr>
                <w:rFonts w:ascii="仿宋_GB2312" w:hAnsi="仿宋_GB2312" w:cs="仿宋_GB2312" w:eastAsia="仿宋_GB2312"/>
                <w:sz w:val="24"/>
              </w:rPr>
              <w:t xml:space="preserve">GB/T10801.1-2025                                  </w:t>
            </w:r>
          </w:p>
          <w:p>
            <w:pPr>
              <w:pStyle w:val="null3"/>
              <w:jc w:val="left"/>
            </w:pPr>
            <w:r>
              <w:rPr>
                <w:rFonts w:ascii="仿宋_GB2312" w:hAnsi="仿宋_GB2312" w:cs="仿宋_GB2312" w:eastAsia="仿宋_GB2312"/>
                <w:sz w:val="24"/>
              </w:rPr>
              <w:t>《绝热用挤塑聚苯乙烯泡沫塑料》</w:t>
            </w:r>
            <w:r>
              <w:rPr>
                <w:rFonts w:ascii="仿宋_GB2312" w:hAnsi="仿宋_GB2312" w:cs="仿宋_GB2312" w:eastAsia="仿宋_GB2312"/>
                <w:sz w:val="24"/>
              </w:rPr>
              <w:t>GB/T10801.2-2025</w:t>
            </w:r>
          </w:p>
          <w:p>
            <w:pPr>
              <w:pStyle w:val="null3"/>
              <w:jc w:val="left"/>
            </w:pPr>
            <w:r>
              <w:rPr>
                <w:rFonts w:ascii="仿宋_GB2312" w:hAnsi="仿宋_GB2312" w:cs="仿宋_GB2312" w:eastAsia="仿宋_GB2312"/>
                <w:sz w:val="24"/>
              </w:rPr>
              <w:t>《建筑外墙外保温用岩棉制品》</w:t>
            </w:r>
            <w:r>
              <w:rPr>
                <w:rFonts w:ascii="仿宋_GB2312" w:hAnsi="仿宋_GB2312" w:cs="仿宋_GB2312" w:eastAsia="仿宋_GB2312"/>
                <w:sz w:val="24"/>
              </w:rPr>
              <w:t>GB/T 25975-2018</w:t>
            </w:r>
          </w:p>
          <w:p>
            <w:pPr>
              <w:pStyle w:val="null3"/>
              <w:jc w:val="left"/>
            </w:pPr>
            <w:r>
              <w:rPr>
                <w:rFonts w:ascii="仿宋_GB2312" w:hAnsi="仿宋_GB2312" w:cs="仿宋_GB2312" w:eastAsia="仿宋_GB2312"/>
                <w:sz w:val="24"/>
              </w:rPr>
              <w:t>《建筑用岩棉绝热制品》</w:t>
            </w:r>
            <w:r>
              <w:rPr>
                <w:rFonts w:ascii="仿宋_GB2312" w:hAnsi="仿宋_GB2312" w:cs="仿宋_GB2312" w:eastAsia="仿宋_GB2312"/>
                <w:sz w:val="24"/>
              </w:rPr>
              <w:t>GB/T 19686-2015</w:t>
            </w:r>
          </w:p>
          <w:p>
            <w:pPr>
              <w:pStyle w:val="null3"/>
              <w:jc w:val="left"/>
            </w:pPr>
            <w:r>
              <w:rPr>
                <w:rFonts w:ascii="仿宋_GB2312" w:hAnsi="仿宋_GB2312" w:cs="仿宋_GB2312" w:eastAsia="仿宋_GB2312"/>
                <w:sz w:val="24"/>
              </w:rPr>
              <w:t>《建筑材料放射性核素限量》</w:t>
            </w:r>
            <w:r>
              <w:rPr>
                <w:rFonts w:ascii="仿宋_GB2312" w:hAnsi="仿宋_GB2312" w:cs="仿宋_GB2312" w:eastAsia="仿宋_GB2312"/>
                <w:sz w:val="24"/>
              </w:rPr>
              <w:t>GB 6566-2010</w:t>
            </w:r>
          </w:p>
          <w:p>
            <w:pPr>
              <w:pStyle w:val="null3"/>
              <w:jc w:val="left"/>
            </w:pPr>
            <w:r>
              <w:rPr>
                <w:rFonts w:ascii="仿宋_GB2312" w:hAnsi="仿宋_GB2312" w:cs="仿宋_GB2312" w:eastAsia="仿宋_GB2312"/>
                <w:sz w:val="24"/>
              </w:rPr>
              <w:t>《水性涂料中甲醛含量的测定</w:t>
            </w:r>
            <w:r>
              <w:rPr>
                <w:rFonts w:ascii="仿宋_GB2312" w:hAnsi="仿宋_GB2312" w:cs="仿宋_GB2312" w:eastAsia="仿宋_GB2312"/>
                <w:sz w:val="24"/>
              </w:rPr>
              <w:t>乙酰丙酮分光光度法》</w:t>
            </w:r>
            <w:r>
              <w:rPr>
                <w:rFonts w:ascii="仿宋_GB2312" w:hAnsi="仿宋_GB2312" w:cs="仿宋_GB2312" w:eastAsia="仿宋_GB2312"/>
                <w:sz w:val="24"/>
              </w:rPr>
              <w:t>GB/T 23993-2009</w:t>
            </w:r>
          </w:p>
          <w:p>
            <w:pPr>
              <w:pStyle w:val="null3"/>
              <w:jc w:val="left"/>
            </w:pPr>
            <w:r>
              <w:rPr>
                <w:rFonts w:ascii="仿宋_GB2312" w:hAnsi="仿宋_GB2312" w:cs="仿宋_GB2312" w:eastAsia="仿宋_GB2312"/>
                <w:sz w:val="24"/>
              </w:rPr>
              <w:t>《涂料中苯、甲苯、乙苯和二甲苯含量的测定</w:t>
            </w:r>
            <w:r>
              <w:rPr>
                <w:rFonts w:ascii="仿宋_GB2312" w:hAnsi="仿宋_GB2312" w:cs="仿宋_GB2312" w:eastAsia="仿宋_GB2312"/>
                <w:sz w:val="24"/>
              </w:rPr>
              <w:t>气相色谱法》</w:t>
            </w:r>
            <w:r>
              <w:rPr>
                <w:rFonts w:ascii="仿宋_GB2312" w:hAnsi="仿宋_GB2312" w:cs="仿宋_GB2312" w:eastAsia="仿宋_GB2312"/>
                <w:sz w:val="24"/>
              </w:rPr>
              <w:t>GB/T 23990-2009</w:t>
            </w:r>
          </w:p>
          <w:p>
            <w:pPr>
              <w:pStyle w:val="null3"/>
              <w:jc w:val="left"/>
            </w:pPr>
            <w:r>
              <w:rPr>
                <w:rFonts w:ascii="仿宋_GB2312" w:hAnsi="仿宋_GB2312" w:cs="仿宋_GB2312" w:eastAsia="仿宋_GB2312"/>
                <w:sz w:val="24"/>
              </w:rPr>
              <w:t>《人造板及饰面人造板理化性能试验方法》</w:t>
            </w:r>
            <w:r>
              <w:rPr>
                <w:rFonts w:ascii="仿宋_GB2312" w:hAnsi="仿宋_GB2312" w:cs="仿宋_GB2312" w:eastAsia="仿宋_GB2312"/>
                <w:sz w:val="24"/>
              </w:rPr>
              <w:t>GB/T 17657-2022</w:t>
            </w:r>
          </w:p>
          <w:p>
            <w:pPr>
              <w:pStyle w:val="null3"/>
              <w:jc w:val="left"/>
            </w:pPr>
            <w:r>
              <w:rPr>
                <w:rFonts w:ascii="仿宋_GB2312" w:hAnsi="仿宋_GB2312" w:cs="仿宋_GB2312" w:eastAsia="仿宋_GB2312"/>
                <w:sz w:val="24"/>
              </w:rPr>
              <w:t>《民用建筑工程室内环境污染控制规范》</w:t>
            </w:r>
            <w:r>
              <w:rPr>
                <w:rFonts w:ascii="仿宋_GB2312" w:hAnsi="仿宋_GB2312" w:cs="仿宋_GB2312" w:eastAsia="仿宋_GB2312"/>
                <w:sz w:val="24"/>
              </w:rPr>
              <w:t>GB 50325-2020</w:t>
            </w:r>
          </w:p>
          <w:p>
            <w:pPr>
              <w:pStyle w:val="null3"/>
              <w:jc w:val="left"/>
            </w:pPr>
            <w:r>
              <w:rPr>
                <w:rFonts w:ascii="仿宋_GB2312" w:hAnsi="仿宋_GB2312" w:cs="仿宋_GB2312" w:eastAsia="仿宋_GB2312"/>
                <w:sz w:val="24"/>
              </w:rPr>
              <w:t>《公共场所卫生检验方法</w:t>
            </w:r>
            <w:r>
              <w:rPr>
                <w:rFonts w:ascii="仿宋_GB2312" w:hAnsi="仿宋_GB2312" w:cs="仿宋_GB2312" w:eastAsia="仿宋_GB2312"/>
                <w:sz w:val="24"/>
              </w:rPr>
              <w:t>第</w:t>
            </w:r>
            <w:r>
              <w:rPr>
                <w:rFonts w:ascii="仿宋_GB2312" w:hAnsi="仿宋_GB2312" w:cs="仿宋_GB2312" w:eastAsia="仿宋_GB2312"/>
                <w:sz w:val="24"/>
              </w:rPr>
              <w:t>2部分：化学性指标》GB/T 18204.2-2025</w:t>
            </w:r>
          </w:p>
          <w:p>
            <w:pPr>
              <w:pStyle w:val="null3"/>
              <w:jc w:val="left"/>
            </w:pPr>
            <w:r>
              <w:rPr>
                <w:rFonts w:ascii="仿宋_GB2312" w:hAnsi="仿宋_GB2312" w:cs="仿宋_GB2312" w:eastAsia="仿宋_GB2312"/>
                <w:sz w:val="24"/>
              </w:rPr>
              <w:t>7、服务清单：</w:t>
            </w:r>
          </w:p>
          <w:tbl>
            <w:tblPr>
              <w:tblInd w:type="dxa" w:w="90"/>
              <w:tblBorders>
                <w:top w:val="none" w:color="000000" w:sz="4"/>
                <w:left w:val="none" w:color="000000" w:sz="4"/>
                <w:bottom w:val="none" w:color="000000" w:sz="4"/>
                <w:right w:val="none" w:color="000000" w:sz="4"/>
                <w:insideH w:val="none"/>
                <w:insideV w:val="none"/>
              </w:tblBorders>
            </w:tblPr>
            <w:tblGrid>
              <w:gridCol w:w="126"/>
              <w:gridCol w:w="186"/>
              <w:gridCol w:w="212"/>
              <w:gridCol w:w="283"/>
              <w:gridCol w:w="594"/>
              <w:gridCol w:w="446"/>
              <w:gridCol w:w="249"/>
              <w:gridCol w:w="163"/>
              <w:gridCol w:w="168"/>
              <w:gridCol w:w="110"/>
            </w:tblGrid>
            <w:tr>
              <w:tc>
                <w:tcPr>
                  <w:tcW w:type="dxa" w:w="1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材料类别</w:t>
                  </w:r>
                </w:p>
              </w:tc>
              <w:tc>
                <w:tcPr>
                  <w:tcW w:type="dxa" w:w="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必检材料</w:t>
                  </w:r>
                </w:p>
              </w:tc>
              <w:tc>
                <w:tcPr>
                  <w:tcW w:type="dxa" w:w="2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必检项目</w:t>
                  </w:r>
                </w:p>
              </w:tc>
              <w:tc>
                <w:tcPr>
                  <w:tcW w:type="dxa" w:w="5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检查数量</w:t>
                  </w:r>
                </w:p>
              </w:tc>
              <w:tc>
                <w:tcPr>
                  <w:tcW w:type="dxa" w:w="4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依据</w:t>
                  </w:r>
                </w:p>
              </w:tc>
              <w:tc>
                <w:tcPr>
                  <w:tcW w:type="dxa" w:w="2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暂定工程量</w:t>
                  </w:r>
                </w:p>
              </w:tc>
              <w:tc>
                <w:tcPr>
                  <w:tcW w:type="dxa" w:w="1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计量单位</w:t>
                  </w:r>
                </w:p>
              </w:tc>
              <w:tc>
                <w:tcPr>
                  <w:tcW w:type="dxa" w:w="1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复试组数</w:t>
                  </w:r>
                </w:p>
              </w:tc>
              <w:tc>
                <w:tcPr>
                  <w:tcW w:type="dxa" w:w="110"/>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备注</w:t>
                  </w:r>
                </w:p>
              </w:tc>
            </w:tr>
            <w:tr>
              <w:tc>
                <w:tcPr>
                  <w:tcW w:type="dxa" w:w="126"/>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8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装饰装修</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天然花岗石石材</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放射性</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当同一产地、同一品种产品使用面积大于</w:t>
                  </w:r>
                  <w:r>
                    <w:rPr>
                      <w:rFonts w:ascii="仿宋_GB2312" w:hAnsi="仿宋_GB2312" w:cs="仿宋_GB2312" w:eastAsia="仿宋_GB2312"/>
                      <w:sz w:val="20"/>
                    </w:rPr>
                    <w:t>200平米时需进行复验，组批按同一产地、同一品种每5000平米为一批，不足5000平米按一批计</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GB50325-2020《民用建筑工程室内环境污染控制标准》表5.1.2条及5.2.2</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102215.54</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m2</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6"/>
                  <w:vMerge/>
                  <w:tcBorders>
                    <w:top w:val="none" w:color="000000" w:sz="4"/>
                    <w:left w:val="single" w:color="000000" w:sz="4"/>
                    <w:bottom w:val="none" w:color="000000" w:sz="4"/>
                    <w:right w:val="single" w:color="000000" w:sz="4"/>
                  </w:tcBorders>
                </w:tcPr>
                <w:p/>
              </w:tc>
              <w:tc>
                <w:tcPr>
                  <w:tcW w:type="dxa" w:w="186"/>
                  <w:vMerge/>
                  <w:tcBorders>
                    <w:top w:val="none" w:color="000000" w:sz="4"/>
                    <w:left w:val="none" w:color="000000" w:sz="4"/>
                    <w:bottom w:val="non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瓷质砖</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物理性能</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6"/>
                  <w:vMerge/>
                  <w:tcBorders>
                    <w:top w:val="none" w:color="000000" w:sz="4"/>
                    <w:left w:val="single" w:color="000000" w:sz="4"/>
                    <w:bottom w:val="none" w:color="000000" w:sz="4"/>
                    <w:right w:val="single" w:color="000000" w:sz="4"/>
                  </w:tcBorders>
                </w:tcPr>
                <w:p/>
              </w:tc>
              <w:tc>
                <w:tcPr>
                  <w:tcW w:type="dxa" w:w="186"/>
                  <w:vMerge/>
                  <w:tcBorders>
                    <w:top w:val="none" w:color="000000" w:sz="4"/>
                    <w:left w:val="none" w:color="000000" w:sz="4"/>
                    <w:bottom w:val="non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水性涂料和水性腻子</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游离甲醛</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组批按同一厂家、同一品种、同一规格产品每</w:t>
                  </w:r>
                  <w:r>
                    <w:rPr>
                      <w:rFonts w:ascii="仿宋_GB2312" w:hAnsi="仿宋_GB2312" w:cs="仿宋_GB2312" w:eastAsia="仿宋_GB2312"/>
                      <w:sz w:val="20"/>
                    </w:rPr>
                    <w:t>5吨为一批，不足5吨按一批计</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GB50325-2020《民用建筑工程室内环境污染控制标准》表5.1.2条及3.3.2</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87.13</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T</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6"/>
                  <w:vMerge/>
                  <w:tcBorders>
                    <w:top w:val="none" w:color="000000" w:sz="4"/>
                    <w:left w:val="single" w:color="000000" w:sz="4"/>
                    <w:bottom w:val="none" w:color="000000" w:sz="4"/>
                    <w:right w:val="single" w:color="000000" w:sz="4"/>
                  </w:tcBorders>
                </w:tcPr>
                <w:p/>
              </w:tc>
              <w:tc>
                <w:tcPr>
                  <w:tcW w:type="dxa" w:w="186"/>
                  <w:vMerge/>
                  <w:tcBorders>
                    <w:top w:val="none" w:color="000000" w:sz="4"/>
                    <w:left w:val="none" w:color="000000" w:sz="4"/>
                    <w:bottom w:val="none" w:color="000000" w:sz="4"/>
                    <w:right w:val="single" w:color="000000" w:sz="4"/>
                  </w:tcBorders>
                </w:tcPr>
                <w:p/>
              </w:tc>
              <w:tc>
                <w:tcPr>
                  <w:tcW w:type="dxa" w:w="21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溶剂型涂料和木器用溶剂型腻子</w:t>
                  </w:r>
                </w:p>
              </w:tc>
              <w:tc>
                <w:tcPr>
                  <w:tcW w:type="dxa" w:w="28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VOC和苯、甲苯、二甲苯、乙苯</w:t>
                  </w:r>
                </w:p>
              </w:tc>
              <w:tc>
                <w:tcPr>
                  <w:tcW w:type="dxa" w:w="59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组批按同一厂家产品以甲组分每</w:t>
                  </w:r>
                  <w:r>
                    <w:rPr>
                      <w:rFonts w:ascii="仿宋_GB2312" w:hAnsi="仿宋_GB2312" w:cs="仿宋_GB2312" w:eastAsia="仿宋_GB2312"/>
                      <w:sz w:val="20"/>
                    </w:rPr>
                    <w:t>5吨为一批，不足5吨按一批计。</w:t>
                  </w:r>
                </w:p>
              </w:tc>
              <w:tc>
                <w:tcPr>
                  <w:tcW w:type="dxa" w:w="44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GB50325-2020《民用建筑工程室内环境污染控制标准》表5.1.2条及3.3.3</w:t>
                  </w:r>
                </w:p>
              </w:tc>
              <w:tc>
                <w:tcPr>
                  <w:tcW w:type="dxa" w:w="24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40.48</w:t>
                  </w:r>
                </w:p>
              </w:tc>
              <w:tc>
                <w:tcPr>
                  <w:tcW w:type="dxa" w:w="16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T</w:t>
                  </w:r>
                </w:p>
              </w:tc>
              <w:tc>
                <w:tcPr>
                  <w:tcW w:type="dxa" w:w="168"/>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11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r>
            <w:tr>
              <w:tc>
                <w:tcPr>
                  <w:tcW w:type="dxa" w:w="126"/>
                  <w:vMerge/>
                  <w:tcBorders>
                    <w:top w:val="none" w:color="000000" w:sz="4"/>
                    <w:left w:val="single" w:color="000000" w:sz="4"/>
                    <w:bottom w:val="none" w:color="000000" w:sz="4"/>
                    <w:right w:val="single" w:color="000000" w:sz="4"/>
                  </w:tcBorders>
                </w:tcPr>
                <w:p/>
              </w:tc>
              <w:tc>
                <w:tcPr>
                  <w:tcW w:type="dxa" w:w="186"/>
                  <w:vMerge/>
                  <w:tcBorders>
                    <w:top w:val="none" w:color="000000" w:sz="4"/>
                    <w:left w:val="none" w:color="000000" w:sz="4"/>
                    <w:bottom w:val="none" w:color="000000" w:sz="4"/>
                    <w:right w:val="single" w:color="000000" w:sz="4"/>
                  </w:tcBorders>
                </w:tcPr>
                <w:p/>
              </w:tc>
              <w:tc>
                <w:tcPr>
                  <w:tcW w:type="dxa" w:w="21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室内防水涂料</w:t>
                  </w:r>
                </w:p>
              </w:tc>
              <w:tc>
                <w:tcPr>
                  <w:tcW w:type="dxa" w:w="28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VOC和苯、甲苯、二甲苯、乙苯</w:t>
                  </w:r>
                </w:p>
              </w:tc>
              <w:tc>
                <w:tcPr>
                  <w:tcW w:type="dxa" w:w="59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组批按同一厂家、同一品种、同一规格产品</w:t>
                  </w:r>
                  <w:r>
                    <w:rPr>
                      <w:rFonts w:ascii="仿宋_GB2312" w:hAnsi="仿宋_GB2312" w:cs="仿宋_GB2312" w:eastAsia="仿宋_GB2312"/>
                      <w:sz w:val="20"/>
                    </w:rPr>
                    <w:t>5吨为一批，不足5吨按一批计。</w:t>
                  </w:r>
                </w:p>
              </w:tc>
              <w:tc>
                <w:tcPr>
                  <w:tcW w:type="dxa" w:w="44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GB50325-2020《民用建筑工程室内环境污染控制标准》表5.1.2条及3.3.4</w:t>
                  </w:r>
                </w:p>
              </w:tc>
              <w:tc>
                <w:tcPr>
                  <w:tcW w:type="dxa" w:w="24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46.65</w:t>
                  </w:r>
                </w:p>
              </w:tc>
              <w:tc>
                <w:tcPr>
                  <w:tcW w:type="dxa" w:w="16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T</w:t>
                  </w:r>
                </w:p>
              </w:tc>
              <w:tc>
                <w:tcPr>
                  <w:tcW w:type="dxa" w:w="16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11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6"/>
                  <w:vMerge/>
                  <w:tcBorders>
                    <w:top w:val="none" w:color="000000" w:sz="4"/>
                    <w:left w:val="single" w:color="000000" w:sz="4"/>
                    <w:bottom w:val="none" w:color="000000" w:sz="4"/>
                    <w:right w:val="single" w:color="000000" w:sz="4"/>
                  </w:tcBorders>
                </w:tcPr>
                <w:p/>
              </w:tc>
              <w:tc>
                <w:tcPr>
                  <w:tcW w:type="dxa" w:w="186"/>
                  <w:vMerge/>
                  <w:tcBorders>
                    <w:top w:val="none" w:color="000000" w:sz="4"/>
                    <w:left w:val="none" w:color="000000" w:sz="4"/>
                    <w:bottom w:val="none" w:color="000000" w:sz="4"/>
                    <w:right w:val="single" w:color="000000" w:sz="4"/>
                  </w:tcBorders>
                </w:tcPr>
                <w:p/>
              </w:tc>
              <w:tc>
                <w:tcPr>
                  <w:tcW w:type="dxa" w:w="212"/>
                  <w:vMerge/>
                  <w:tcBorders>
                    <w:top w:val="single" w:color="000000" w:sz="4"/>
                    <w:left w:val="none" w:color="000000" w:sz="4"/>
                    <w:bottom w:val="single" w:color="000000" w:sz="4"/>
                    <w:right w:val="single" w:color="000000" w:sz="4"/>
                  </w:tcBorders>
                </w:tcPr>
                <w:p/>
              </w:tc>
              <w:tc>
                <w:tcPr>
                  <w:tcW w:type="dxa" w:w="283"/>
                  <w:vMerge/>
                  <w:tcBorders>
                    <w:top w:val="single" w:color="000000" w:sz="4"/>
                    <w:left w:val="none" w:color="000000" w:sz="4"/>
                    <w:bottom w:val="single" w:color="000000" w:sz="4"/>
                    <w:right w:val="single" w:color="000000" w:sz="4"/>
                  </w:tcBorders>
                </w:tcPr>
                <w:p/>
              </w:tc>
              <w:tc>
                <w:tcPr>
                  <w:tcW w:type="dxa" w:w="594"/>
                  <w:vMerge/>
                  <w:tcBorders>
                    <w:top w:val="single" w:color="000000" w:sz="4"/>
                    <w:left w:val="none" w:color="000000" w:sz="4"/>
                    <w:bottom w:val="single" w:color="000000" w:sz="4"/>
                    <w:right w:val="single" w:color="000000" w:sz="4"/>
                  </w:tcBorders>
                </w:tcPr>
                <w:p/>
              </w:tc>
              <w:tc>
                <w:tcPr>
                  <w:tcW w:type="dxa" w:w="446"/>
                  <w:vMerge/>
                  <w:tcBorders>
                    <w:top w:val="single" w:color="000000" w:sz="4"/>
                    <w:left w:val="none" w:color="000000" w:sz="4"/>
                    <w:bottom w:val="single" w:color="000000" w:sz="4"/>
                    <w:right w:val="single" w:color="000000" w:sz="4"/>
                  </w:tcBorders>
                </w:tcPr>
                <w:p/>
              </w:tc>
              <w:tc>
                <w:tcPr>
                  <w:tcW w:type="dxa" w:w="249"/>
                  <w:vMerge/>
                  <w:tcBorders>
                    <w:top w:val="single" w:color="000000" w:sz="4"/>
                    <w:left w:val="none" w:color="000000" w:sz="4"/>
                    <w:bottom w:val="single" w:color="000000" w:sz="4"/>
                    <w:right w:val="single" w:color="000000" w:sz="4"/>
                  </w:tcBorders>
                </w:tcPr>
                <w:p/>
              </w:tc>
              <w:tc>
                <w:tcPr>
                  <w:tcW w:type="dxa" w:w="163"/>
                  <w:vMerge/>
                  <w:tcBorders>
                    <w:top w:val="single" w:color="000000" w:sz="4"/>
                    <w:left w:val="none" w:color="000000" w:sz="4"/>
                    <w:bottom w:val="single" w:color="000000" w:sz="4"/>
                    <w:right w:val="single" w:color="000000" w:sz="4"/>
                  </w:tcBorders>
                </w:tcPr>
                <w:p/>
              </w:tc>
              <w:tc>
                <w:tcPr>
                  <w:tcW w:type="dxa" w:w="168"/>
                  <w:vMerge/>
                  <w:tcBorders>
                    <w:top w:val="single" w:color="000000" w:sz="4"/>
                    <w:left w:val="none" w:color="000000" w:sz="4"/>
                    <w:bottom w:val="single" w:color="000000" w:sz="4"/>
                    <w:right w:val="single" w:color="000000" w:sz="4"/>
                  </w:tcBorders>
                </w:tcPr>
                <w:p/>
              </w:tc>
              <w:tc>
                <w:tcPr>
                  <w:tcW w:type="dxa" w:w="110"/>
                  <w:vMerge/>
                  <w:tcBorders>
                    <w:top w:val="single" w:color="000000" w:sz="4"/>
                    <w:left w:val="none" w:color="000000" w:sz="4"/>
                    <w:bottom w:val="single" w:color="000000" w:sz="4"/>
                    <w:right w:val="single" w:color="000000" w:sz="4"/>
                  </w:tcBorders>
                </w:tcPr>
                <w:p/>
              </w:tc>
            </w:tr>
            <w:tr>
              <w:tc>
                <w:tcPr>
                  <w:tcW w:type="dxa" w:w="126"/>
                  <w:vMerge/>
                  <w:tcBorders>
                    <w:top w:val="none" w:color="000000" w:sz="4"/>
                    <w:left w:val="single" w:color="000000" w:sz="4"/>
                    <w:bottom w:val="none" w:color="000000" w:sz="4"/>
                    <w:right w:val="single" w:color="000000" w:sz="4"/>
                  </w:tcBorders>
                </w:tcPr>
                <w:p/>
              </w:tc>
              <w:tc>
                <w:tcPr>
                  <w:tcW w:type="dxa" w:w="186"/>
                  <w:vMerge/>
                  <w:tcBorders>
                    <w:top w:val="none" w:color="000000" w:sz="4"/>
                    <w:left w:val="none" w:color="000000" w:sz="4"/>
                    <w:bottom w:val="none" w:color="000000" w:sz="4"/>
                    <w:right w:val="single" w:color="000000" w:sz="4"/>
                  </w:tcBorders>
                </w:tcPr>
                <w:p/>
              </w:tc>
              <w:tc>
                <w:tcPr>
                  <w:tcW w:type="dxa" w:w="212"/>
                  <w:vMerge/>
                  <w:tcBorders>
                    <w:top w:val="single" w:color="000000" w:sz="4"/>
                    <w:left w:val="none" w:color="000000" w:sz="4"/>
                    <w:bottom w:val="single" w:color="000000" w:sz="4"/>
                    <w:right w:val="single" w:color="000000" w:sz="4"/>
                  </w:tcBorders>
                </w:tcPr>
                <w:p/>
              </w:tc>
              <w:tc>
                <w:tcPr>
                  <w:tcW w:type="dxa" w:w="283"/>
                  <w:vMerge/>
                  <w:tcBorders>
                    <w:top w:val="single" w:color="000000" w:sz="4"/>
                    <w:left w:val="none" w:color="000000" w:sz="4"/>
                    <w:bottom w:val="single" w:color="000000" w:sz="4"/>
                    <w:right w:val="single" w:color="000000" w:sz="4"/>
                  </w:tcBorders>
                </w:tcPr>
                <w:p/>
              </w:tc>
              <w:tc>
                <w:tcPr>
                  <w:tcW w:type="dxa" w:w="594"/>
                  <w:vMerge/>
                  <w:tcBorders>
                    <w:top w:val="single" w:color="000000" w:sz="4"/>
                    <w:left w:val="none" w:color="000000" w:sz="4"/>
                    <w:bottom w:val="single" w:color="000000" w:sz="4"/>
                    <w:right w:val="single" w:color="000000" w:sz="4"/>
                  </w:tcBorders>
                </w:tcPr>
                <w:p/>
              </w:tc>
              <w:tc>
                <w:tcPr>
                  <w:tcW w:type="dxa" w:w="446"/>
                  <w:vMerge/>
                  <w:tcBorders>
                    <w:top w:val="single" w:color="000000" w:sz="4"/>
                    <w:left w:val="none" w:color="000000" w:sz="4"/>
                    <w:bottom w:val="single" w:color="000000" w:sz="4"/>
                    <w:right w:val="single" w:color="000000" w:sz="4"/>
                  </w:tcBorders>
                </w:tcPr>
                <w:p/>
              </w:tc>
              <w:tc>
                <w:tcPr>
                  <w:tcW w:type="dxa" w:w="249"/>
                  <w:vMerge/>
                  <w:tcBorders>
                    <w:top w:val="single" w:color="000000" w:sz="4"/>
                    <w:left w:val="none" w:color="000000" w:sz="4"/>
                    <w:bottom w:val="single" w:color="000000" w:sz="4"/>
                    <w:right w:val="single" w:color="000000" w:sz="4"/>
                  </w:tcBorders>
                </w:tcPr>
                <w:p/>
              </w:tc>
              <w:tc>
                <w:tcPr>
                  <w:tcW w:type="dxa" w:w="163"/>
                  <w:vMerge/>
                  <w:tcBorders>
                    <w:top w:val="single" w:color="000000" w:sz="4"/>
                    <w:left w:val="none" w:color="000000" w:sz="4"/>
                    <w:bottom w:val="single" w:color="000000" w:sz="4"/>
                    <w:right w:val="single" w:color="000000" w:sz="4"/>
                  </w:tcBorders>
                </w:tcPr>
                <w:p/>
              </w:tc>
              <w:tc>
                <w:tcPr>
                  <w:tcW w:type="dxa" w:w="168"/>
                  <w:vMerge/>
                  <w:tcBorders>
                    <w:top w:val="single" w:color="000000" w:sz="4"/>
                    <w:left w:val="none" w:color="000000" w:sz="4"/>
                    <w:bottom w:val="single" w:color="000000" w:sz="4"/>
                    <w:right w:val="single" w:color="000000" w:sz="4"/>
                  </w:tcBorders>
                </w:tcPr>
                <w:p/>
              </w:tc>
              <w:tc>
                <w:tcPr>
                  <w:tcW w:type="dxa" w:w="110"/>
                  <w:vMerge/>
                  <w:tcBorders>
                    <w:top w:val="single" w:color="000000" w:sz="4"/>
                    <w:left w:val="none" w:color="000000" w:sz="4"/>
                    <w:bottom w:val="single" w:color="000000" w:sz="4"/>
                    <w:right w:val="single" w:color="000000" w:sz="4"/>
                  </w:tcBorders>
                </w:tcPr>
                <w:p/>
              </w:tc>
            </w:tr>
            <w:tr>
              <w:tc>
                <w:tcPr>
                  <w:tcW w:type="dxa" w:w="126"/>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86"/>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建筑节能</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粘接材料</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拉伸粘接强度</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同厂家、同品种产品、按照扣除门窗洞口后的保温墙面面积所使用的材料用量，在</w:t>
                  </w:r>
                  <w:r>
                    <w:rPr>
                      <w:rFonts w:ascii="仿宋_GB2312" w:hAnsi="仿宋_GB2312" w:cs="仿宋_GB2312" w:eastAsia="仿宋_GB2312"/>
                      <w:sz w:val="20"/>
                    </w:rPr>
                    <w:t>5000m2以内时应复验1次；面积每增加5000m2应增加1次。同工程项目、同施工单位且同期施工的多个单位工程可合并计算。</w:t>
                  </w:r>
                </w:p>
              </w:tc>
              <w:tc>
                <w:tcPr>
                  <w:tcW w:type="dxa" w:w="4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GB50411-2019《建筑节能工程施工质量验收标准》第4.2.2条</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67712.8764</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6"/>
                  <w:vMerge/>
                  <w:tcBorders>
                    <w:top w:val="single" w:color="000000" w:sz="4"/>
                    <w:left w:val="single" w:color="000000" w:sz="4"/>
                    <w:bottom w:val="none" w:color="000000" w:sz="4"/>
                    <w:right w:val="single" w:color="000000" w:sz="4"/>
                  </w:tcBorders>
                </w:tcPr>
                <w:p/>
              </w:tc>
              <w:tc>
                <w:tcPr>
                  <w:tcW w:type="dxa" w:w="186"/>
                  <w:vMerge/>
                  <w:tcBorders>
                    <w:top w:val="single" w:color="000000" w:sz="4"/>
                    <w:left w:val="none" w:color="000000" w:sz="4"/>
                    <w:bottom w:val="non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保温砂浆</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抗压强度、干密度、导热系数</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同厂家、同品种产品、按照扣除门窗洞口后的保温墙面面积所使用的材料用量，在</w:t>
                  </w:r>
                  <w:r>
                    <w:rPr>
                      <w:rFonts w:ascii="仿宋_GB2312" w:hAnsi="仿宋_GB2312" w:cs="仿宋_GB2312" w:eastAsia="仿宋_GB2312"/>
                      <w:sz w:val="20"/>
                    </w:rPr>
                    <w:t>5000m2以内时应复验1次；面积每增加5000m2应增加1次。同工程项目、同施工单位且同期施工的多个单位工程可合并计算。</w:t>
                  </w:r>
                </w:p>
              </w:tc>
              <w:tc>
                <w:tcPr>
                  <w:tcW w:type="dxa" w:w="446"/>
                  <w:vMerge/>
                  <w:tcBorders>
                    <w:top w:val="none" w:color="000000" w:sz="4"/>
                    <w:left w:val="none" w:color="000000" w:sz="4"/>
                    <w:bottom w:val="single" w:color="000000" w:sz="4"/>
                    <w:right w:val="single" w:color="000000" w:sz="4"/>
                  </w:tcBorders>
                </w:tcP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67712.8764</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6"/>
                  <w:vMerge/>
                  <w:tcBorders>
                    <w:top w:val="single" w:color="000000" w:sz="4"/>
                    <w:left w:val="single" w:color="000000" w:sz="4"/>
                    <w:bottom w:val="none" w:color="000000" w:sz="4"/>
                    <w:right w:val="single" w:color="000000" w:sz="4"/>
                  </w:tcBorders>
                </w:tcPr>
                <w:p/>
              </w:tc>
              <w:tc>
                <w:tcPr>
                  <w:tcW w:type="dxa" w:w="186"/>
                  <w:vMerge/>
                  <w:tcBorders>
                    <w:top w:val="single" w:color="000000" w:sz="4"/>
                    <w:left w:val="none" w:color="000000" w:sz="4"/>
                    <w:bottom w:val="non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增强网</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力学性能、抗腐蚀性能</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同厂家、同品种产品、按照扣除门窗洞口后的保温墙面面积所使用的材料用量，在</w:t>
                  </w:r>
                  <w:r>
                    <w:rPr>
                      <w:rFonts w:ascii="仿宋_GB2312" w:hAnsi="仿宋_GB2312" w:cs="仿宋_GB2312" w:eastAsia="仿宋_GB2312"/>
                      <w:sz w:val="20"/>
                    </w:rPr>
                    <w:t>5000m2以内时应复验1次；面积每增加5000m2应增加1次。同工程项目、同施工单位且同期施工的多个单位工程可合并计算。</w:t>
                  </w:r>
                </w:p>
              </w:tc>
              <w:tc>
                <w:tcPr>
                  <w:tcW w:type="dxa" w:w="446"/>
                  <w:vMerge/>
                  <w:tcBorders>
                    <w:top w:val="none" w:color="000000" w:sz="4"/>
                    <w:left w:val="none" w:color="000000" w:sz="4"/>
                    <w:bottom w:val="single" w:color="000000" w:sz="4"/>
                    <w:right w:val="single" w:color="000000" w:sz="4"/>
                  </w:tcBorders>
                </w:tcP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67712.8764</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m2</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6"/>
                  <w:vMerge/>
                  <w:tcBorders>
                    <w:top w:val="single" w:color="000000" w:sz="4"/>
                    <w:left w:val="single" w:color="000000" w:sz="4"/>
                    <w:bottom w:val="none" w:color="000000" w:sz="4"/>
                    <w:right w:val="single" w:color="000000" w:sz="4"/>
                  </w:tcBorders>
                </w:tcPr>
                <w:p/>
              </w:tc>
              <w:tc>
                <w:tcPr>
                  <w:tcW w:type="dxa" w:w="186"/>
                  <w:vMerge/>
                  <w:tcBorders>
                    <w:top w:val="single" w:color="000000" w:sz="4"/>
                    <w:left w:val="none" w:color="000000" w:sz="4"/>
                    <w:bottom w:val="non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抹面材料</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拉伸粘接强度、压折比</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同厂家、同品种产品、按照扣除门窗洞口后的保温墙面面积所使用的材料用量，在</w:t>
                  </w:r>
                  <w:r>
                    <w:rPr>
                      <w:rFonts w:ascii="仿宋_GB2312" w:hAnsi="仿宋_GB2312" w:cs="仿宋_GB2312" w:eastAsia="仿宋_GB2312"/>
                      <w:sz w:val="20"/>
                    </w:rPr>
                    <w:t>5000m2以内时应复验1次；面积每增加5000m2应增加1次。同工程项目、同施工单位且同期施工的多个单位工程可合并计算。</w:t>
                  </w:r>
                </w:p>
              </w:tc>
              <w:tc>
                <w:tcPr>
                  <w:tcW w:type="dxa" w:w="446"/>
                  <w:vMerge/>
                  <w:tcBorders>
                    <w:top w:val="none" w:color="000000" w:sz="4"/>
                    <w:left w:val="none" w:color="000000" w:sz="4"/>
                    <w:bottom w:val="single" w:color="000000" w:sz="4"/>
                    <w:right w:val="single" w:color="000000" w:sz="4"/>
                  </w:tcBorders>
                </w:tcP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67712.8764</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m3</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6"/>
                  <w:vMerge/>
                  <w:tcBorders>
                    <w:top w:val="single" w:color="000000" w:sz="4"/>
                    <w:left w:val="single" w:color="000000" w:sz="4"/>
                    <w:bottom w:val="none" w:color="000000" w:sz="4"/>
                    <w:right w:val="single" w:color="000000" w:sz="4"/>
                  </w:tcBorders>
                </w:tcPr>
                <w:p/>
              </w:tc>
              <w:tc>
                <w:tcPr>
                  <w:tcW w:type="dxa" w:w="186"/>
                  <w:vMerge/>
                  <w:tcBorders>
                    <w:top w:val="single" w:color="000000" w:sz="4"/>
                    <w:left w:val="none" w:color="000000" w:sz="4"/>
                    <w:bottom w:val="non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屋面节能工程</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保温隔热材料的导热系数或热阻、密度、压缩强度或抗压强度、吸水率、燃烧性能</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同厂家、同品种产品，扣除天窗、采光顶后的屋面面积在</w:t>
                  </w:r>
                  <w:r>
                    <w:rPr>
                      <w:rFonts w:ascii="仿宋_GB2312" w:hAnsi="仿宋_GB2312" w:cs="仿宋_GB2312" w:eastAsia="仿宋_GB2312"/>
                      <w:sz w:val="20"/>
                    </w:rPr>
                    <w:t>1000m2以内时应复验1 次;面积每增加 1000m2应增</w:t>
                  </w:r>
                  <w:r>
                    <w:br/>
                  </w:r>
                  <w:r>
                    <w:rPr>
                      <w:rFonts w:ascii="仿宋_GB2312" w:hAnsi="仿宋_GB2312" w:cs="仿宋_GB2312" w:eastAsia="仿宋_GB2312"/>
                      <w:sz w:val="20"/>
                    </w:rPr>
                    <w:t>加复验</w:t>
                  </w:r>
                  <w:r>
                    <w:rPr>
                      <w:rFonts w:ascii="仿宋_GB2312" w:hAnsi="仿宋_GB2312" w:cs="仿宋_GB2312" w:eastAsia="仿宋_GB2312"/>
                      <w:sz w:val="20"/>
                    </w:rPr>
                    <w:t>1次。同工程项目、同施工单位且同期施工的多个单位工</w:t>
                  </w:r>
                  <w:r>
                    <w:br/>
                  </w:r>
                  <w:r>
                    <w:rPr>
                      <w:rFonts w:ascii="仿宋_GB2312" w:hAnsi="仿宋_GB2312" w:cs="仿宋_GB2312" w:eastAsia="仿宋_GB2312"/>
                      <w:sz w:val="20"/>
                    </w:rPr>
                    <w:t>程，可合并计算抽检面积</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GB50411-2019《建筑节能工程施工质量验收标准》第7.2.2条</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25029.00</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m2</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6"/>
                  <w:vMerge/>
                  <w:tcBorders>
                    <w:top w:val="single" w:color="000000" w:sz="4"/>
                    <w:left w:val="single" w:color="000000" w:sz="4"/>
                    <w:bottom w:val="none" w:color="000000" w:sz="4"/>
                    <w:right w:val="single" w:color="000000" w:sz="4"/>
                  </w:tcBorders>
                </w:tcPr>
                <w:p/>
              </w:tc>
              <w:tc>
                <w:tcPr>
                  <w:tcW w:type="dxa" w:w="186"/>
                  <w:vMerge/>
                  <w:tcBorders>
                    <w:top w:val="single" w:color="000000" w:sz="4"/>
                    <w:left w:val="none" w:color="000000" w:sz="4"/>
                    <w:bottom w:val="non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地面节能工程</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保温隔热材料的导热系数或热阻、密度、压缩强度或抗压强度、吸水率、燃烧性能；反射隔热材料的太阳光反射比，半球发射率</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同厂家、同品种产品，扣除天窗、采光顶后的屋面面积在</w:t>
                  </w:r>
                  <w:r>
                    <w:rPr>
                      <w:rFonts w:ascii="仿宋_GB2312" w:hAnsi="仿宋_GB2312" w:cs="仿宋_GB2312" w:eastAsia="仿宋_GB2312"/>
                      <w:sz w:val="20"/>
                    </w:rPr>
                    <w:t>1000m2以内时应复验1 次;面积每增加 1000m2应增</w:t>
                  </w:r>
                  <w:r>
                    <w:br/>
                  </w:r>
                  <w:r>
                    <w:rPr>
                      <w:rFonts w:ascii="仿宋_GB2312" w:hAnsi="仿宋_GB2312" w:cs="仿宋_GB2312" w:eastAsia="仿宋_GB2312"/>
                      <w:sz w:val="20"/>
                    </w:rPr>
                    <w:t>加复验</w:t>
                  </w:r>
                  <w:r>
                    <w:rPr>
                      <w:rFonts w:ascii="仿宋_GB2312" w:hAnsi="仿宋_GB2312" w:cs="仿宋_GB2312" w:eastAsia="仿宋_GB2312"/>
                      <w:sz w:val="20"/>
                    </w:rPr>
                    <w:t>1次。同工程项目、同施工单位且同期施工的多个单位工</w:t>
                  </w:r>
                  <w:r>
                    <w:br/>
                  </w:r>
                  <w:r>
                    <w:rPr>
                      <w:rFonts w:ascii="仿宋_GB2312" w:hAnsi="仿宋_GB2312" w:cs="仿宋_GB2312" w:eastAsia="仿宋_GB2312"/>
                      <w:sz w:val="20"/>
                    </w:rPr>
                    <w:t>程，可合并计算抽检面积</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GB50411-2019《建筑节能工程施工质量验收标准》第8.2.2条</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25029.00</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m2</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6"/>
                  <w:vMerge/>
                  <w:tcBorders>
                    <w:top w:val="single" w:color="000000" w:sz="4"/>
                    <w:left w:val="single" w:color="000000" w:sz="4"/>
                    <w:bottom w:val="none" w:color="000000" w:sz="4"/>
                    <w:right w:val="single" w:color="000000" w:sz="4"/>
                  </w:tcBorders>
                </w:tcPr>
                <w:p/>
              </w:tc>
              <w:tc>
                <w:tcPr>
                  <w:tcW w:type="dxa" w:w="186"/>
                  <w:vMerge/>
                  <w:tcBorders>
                    <w:top w:val="single" w:color="000000" w:sz="4"/>
                    <w:left w:val="none" w:color="000000" w:sz="4"/>
                    <w:bottom w:val="non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配电与照明节能工程</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照明光源初始光效、照明灯具镇流器能效值、照明灯具效率、照明设备功率、功率因素和谐波含量值</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同厂家的照明光源、镇流器、灯具、照明设备，数量在</w:t>
                  </w:r>
                  <w:r>
                    <w:rPr>
                      <w:rFonts w:ascii="仿宋_GB2312" w:hAnsi="仿宋_GB2312" w:cs="仿宋_GB2312" w:eastAsia="仿宋_GB2312"/>
                      <w:sz w:val="20"/>
                    </w:rPr>
                    <w:t>200套（个）及以上时，抽检2套（个）；数量在20套（个）~2000套（个）时，每增加1000套（个）时应增加抽检1套（个）。同工程项目、同施工单位且同期施工的多个单位工程可合并计算。</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GB50411-2019《建筑节能工程施工质量验收标准》第12.2.2条</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12630</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6"/>
                  <w:vMerge/>
                  <w:tcBorders>
                    <w:top w:val="single" w:color="000000" w:sz="4"/>
                    <w:left w:val="single" w:color="000000" w:sz="4"/>
                    <w:bottom w:val="none" w:color="000000" w:sz="4"/>
                    <w:right w:val="single" w:color="000000" w:sz="4"/>
                  </w:tcBorders>
                </w:tcPr>
                <w:p/>
              </w:tc>
              <w:tc>
                <w:tcPr>
                  <w:tcW w:type="dxa" w:w="186"/>
                  <w:vMerge/>
                  <w:tcBorders>
                    <w:top w:val="single" w:color="000000" w:sz="4"/>
                    <w:left w:val="none" w:color="000000" w:sz="4"/>
                    <w:bottom w:val="non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吊顶人造木板</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甲醛释放量</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当同一厂家、同一品种、同一规格产品使用面积大于</w:t>
                  </w:r>
                  <w:r>
                    <w:rPr>
                      <w:rFonts w:ascii="仿宋_GB2312" w:hAnsi="仿宋_GB2312" w:cs="仿宋_GB2312" w:eastAsia="仿宋_GB2312"/>
                      <w:sz w:val="20"/>
                    </w:rPr>
                    <w:t>500平米时需进行复验，组批按同一厂家、同一品种、同一规格每5000平米为一批，不足5000平米按一批计</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GB50210-2018《建筑装饰装修工程质量验收标准》第7.1.3</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91549.00</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m2</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干燥器法</w:t>
                  </w:r>
                </w:p>
              </w:tc>
            </w:tr>
            <w:tr>
              <w:tc>
                <w:tcPr>
                  <w:tcW w:type="dxa" w:w="126"/>
                  <w:vMerge/>
                  <w:tcBorders>
                    <w:top w:val="single" w:color="000000" w:sz="4"/>
                    <w:left w:val="single" w:color="000000" w:sz="4"/>
                    <w:bottom w:val="none" w:color="000000" w:sz="4"/>
                    <w:right w:val="single" w:color="000000" w:sz="4"/>
                  </w:tcBorders>
                </w:tcPr>
                <w:p/>
              </w:tc>
              <w:tc>
                <w:tcPr>
                  <w:tcW w:type="dxa" w:w="186"/>
                  <w:vMerge/>
                  <w:tcBorders>
                    <w:top w:val="single" w:color="000000" w:sz="4"/>
                    <w:left w:val="none" w:color="000000" w:sz="4"/>
                    <w:bottom w:val="non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轻质隔墙人造木板</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甲醛释放量</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当同一厂家、同一品种、同一规格产品使用面积大于</w:t>
                  </w:r>
                  <w:r>
                    <w:rPr>
                      <w:rFonts w:ascii="仿宋_GB2312" w:hAnsi="仿宋_GB2312" w:cs="仿宋_GB2312" w:eastAsia="仿宋_GB2312"/>
                      <w:sz w:val="20"/>
                    </w:rPr>
                    <w:t>500平米时需进行复验，组批按同一厂家、同一品种、同一规格每5000平米为一批，不足5000平米按一批计</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GB50210-2018《建筑装饰装修工程质量验收标准》第8.1.3</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10000</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m2</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干燥器法</w:t>
                  </w:r>
                </w:p>
              </w:tc>
            </w:tr>
            <w:tr>
              <w:tc>
                <w:tcPr>
                  <w:tcW w:type="dxa" w:w="126"/>
                  <w:vMerge/>
                  <w:tcBorders>
                    <w:top w:val="single" w:color="000000" w:sz="4"/>
                    <w:left w:val="single" w:color="000000" w:sz="4"/>
                    <w:bottom w:val="none" w:color="000000" w:sz="4"/>
                    <w:right w:val="single" w:color="000000" w:sz="4"/>
                  </w:tcBorders>
                </w:tcPr>
                <w:p/>
              </w:tc>
              <w:tc>
                <w:tcPr>
                  <w:tcW w:type="dxa" w:w="186"/>
                  <w:vMerge/>
                  <w:tcBorders>
                    <w:top w:val="single" w:color="000000" w:sz="4"/>
                    <w:left w:val="none" w:color="000000" w:sz="4"/>
                    <w:bottom w:val="non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人造木板门</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甲醛释放量</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当同一厂家、同一品种、同一规格产品使用面积大于</w:t>
                  </w:r>
                  <w:r>
                    <w:rPr>
                      <w:rFonts w:ascii="仿宋_GB2312" w:hAnsi="仿宋_GB2312" w:cs="仿宋_GB2312" w:eastAsia="仿宋_GB2312"/>
                      <w:sz w:val="20"/>
                    </w:rPr>
                    <w:t>500平米时需进行复验，组批按同一厂家、同一品种、同一规格每5000平米为一批，不足5000平米按一批计</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GB50210-2018《建筑装饰装修工程质量验收标准》第6.1.3</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15.75</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m2</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干燥器法</w:t>
                  </w:r>
                </w:p>
              </w:tc>
            </w:tr>
            <w:tr>
              <w:tc>
                <w:tcPr>
                  <w:tcW w:type="dxa" w:w="126"/>
                  <w:vMerge/>
                  <w:tcBorders>
                    <w:top w:val="single" w:color="000000" w:sz="4"/>
                    <w:left w:val="single" w:color="000000" w:sz="4"/>
                    <w:bottom w:val="none" w:color="000000" w:sz="4"/>
                    <w:right w:val="single" w:color="000000" w:sz="4"/>
                  </w:tcBorders>
                </w:tcPr>
                <w:p/>
              </w:tc>
              <w:tc>
                <w:tcPr>
                  <w:tcW w:type="dxa" w:w="186"/>
                  <w:vMerge/>
                  <w:tcBorders>
                    <w:top w:val="single" w:color="000000" w:sz="4"/>
                    <w:left w:val="none" w:color="000000" w:sz="4"/>
                    <w:bottom w:val="non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门联窗</w:t>
                  </w:r>
                  <w:r>
                    <w:rPr>
                      <w:rFonts w:ascii="仿宋_GB2312" w:hAnsi="仿宋_GB2312" w:cs="仿宋_GB2312" w:eastAsia="仿宋_GB2312"/>
                      <w:sz w:val="2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气密性能、水密性能、抗风压性能</w:t>
                  </w:r>
                </w:p>
              </w:tc>
              <w:tc>
                <w:tcPr>
                  <w:tcW w:type="dxa" w:w="59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同厂家、同材质、同开启、同系列、同规格，小于等于</w:t>
                  </w:r>
                  <w:r>
                    <w:rPr>
                      <w:rFonts w:ascii="仿宋_GB2312" w:hAnsi="仿宋_GB2312" w:cs="仿宋_GB2312" w:eastAsia="仿宋_GB2312"/>
                      <w:sz w:val="20"/>
                    </w:rPr>
                    <w:t>500樘复验1组，500-2000樘复验2组</w:t>
                  </w:r>
                </w:p>
              </w:tc>
              <w:tc>
                <w:tcPr>
                  <w:tcW w:type="dxa" w:w="4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GB50210-2018《建筑装饰装修工程质量验收标准》第6.1.3</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39</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樘</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6"/>
                  <w:vMerge/>
                  <w:tcBorders>
                    <w:top w:val="single" w:color="000000" w:sz="4"/>
                    <w:left w:val="single" w:color="000000" w:sz="4"/>
                    <w:bottom w:val="none" w:color="000000" w:sz="4"/>
                    <w:right w:val="single" w:color="000000" w:sz="4"/>
                  </w:tcBorders>
                </w:tcPr>
                <w:p/>
              </w:tc>
              <w:tc>
                <w:tcPr>
                  <w:tcW w:type="dxa" w:w="186"/>
                  <w:vMerge/>
                  <w:tcBorders>
                    <w:top w:val="single" w:color="000000" w:sz="4"/>
                    <w:left w:val="none" w:color="000000" w:sz="4"/>
                    <w:bottom w:val="non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门联窗</w:t>
                  </w:r>
                  <w:r>
                    <w:rPr>
                      <w:rFonts w:ascii="仿宋_GB2312" w:hAnsi="仿宋_GB2312" w:cs="仿宋_GB2312" w:eastAsia="仿宋_GB2312"/>
                      <w:sz w:val="20"/>
                    </w:rPr>
                    <w:t>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气密性能、水密性能、抗风压性能</w:t>
                  </w:r>
                </w:p>
              </w:tc>
              <w:tc>
                <w:tcPr>
                  <w:tcW w:type="dxa" w:w="594"/>
                  <w:vMerge/>
                  <w:tcBorders>
                    <w:top w:val="none" w:color="000000" w:sz="4"/>
                    <w:left w:val="none" w:color="000000" w:sz="4"/>
                    <w:bottom w:val="single" w:color="000000" w:sz="4"/>
                    <w:right w:val="single" w:color="000000" w:sz="4"/>
                  </w:tcBorders>
                </w:tcPr>
                <w:p/>
              </w:tc>
              <w:tc>
                <w:tcPr>
                  <w:tcW w:type="dxa" w:w="446"/>
                  <w:vMerge/>
                  <w:tcBorders>
                    <w:top w:val="none" w:color="000000" w:sz="4"/>
                    <w:left w:val="none" w:color="000000" w:sz="4"/>
                    <w:bottom w:val="single" w:color="000000" w:sz="4"/>
                    <w:right w:val="single" w:color="000000" w:sz="4"/>
                  </w:tcBorders>
                </w:tcP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樘</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6"/>
                  <w:vMerge/>
                  <w:tcBorders>
                    <w:top w:val="single" w:color="000000" w:sz="4"/>
                    <w:left w:val="single" w:color="000000" w:sz="4"/>
                    <w:bottom w:val="none" w:color="000000" w:sz="4"/>
                    <w:right w:val="single" w:color="000000" w:sz="4"/>
                  </w:tcBorders>
                </w:tcPr>
                <w:p/>
              </w:tc>
              <w:tc>
                <w:tcPr>
                  <w:tcW w:type="dxa" w:w="186"/>
                  <w:vMerge/>
                  <w:tcBorders>
                    <w:top w:val="single" w:color="000000" w:sz="4"/>
                    <w:left w:val="none" w:color="000000" w:sz="4"/>
                    <w:bottom w:val="non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普通窗</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气密性能、水密性能、抗风压性能</w:t>
                  </w:r>
                </w:p>
              </w:tc>
              <w:tc>
                <w:tcPr>
                  <w:tcW w:type="dxa" w:w="594"/>
                  <w:vMerge/>
                  <w:tcBorders>
                    <w:top w:val="none" w:color="000000" w:sz="4"/>
                    <w:left w:val="none" w:color="000000" w:sz="4"/>
                    <w:bottom w:val="single" w:color="000000" w:sz="4"/>
                    <w:right w:val="single" w:color="000000" w:sz="4"/>
                  </w:tcBorders>
                </w:tcPr>
                <w:p/>
              </w:tc>
              <w:tc>
                <w:tcPr>
                  <w:tcW w:type="dxa" w:w="446"/>
                  <w:vMerge/>
                  <w:tcBorders>
                    <w:top w:val="none" w:color="000000" w:sz="4"/>
                    <w:left w:val="none" w:color="000000" w:sz="4"/>
                    <w:bottom w:val="single" w:color="000000" w:sz="4"/>
                    <w:right w:val="single" w:color="000000" w:sz="4"/>
                  </w:tcBorders>
                </w:tcP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1674</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樘</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6"/>
                  <w:vMerge/>
                  <w:tcBorders>
                    <w:top w:val="single" w:color="000000" w:sz="4"/>
                    <w:left w:val="single" w:color="000000" w:sz="4"/>
                    <w:bottom w:val="none" w:color="000000" w:sz="4"/>
                    <w:right w:val="single" w:color="000000" w:sz="4"/>
                  </w:tcBorders>
                </w:tcPr>
                <w:p/>
              </w:tc>
              <w:tc>
                <w:tcPr>
                  <w:tcW w:type="dxa" w:w="186"/>
                  <w:vMerge/>
                  <w:tcBorders>
                    <w:top w:val="single" w:color="000000" w:sz="4"/>
                    <w:left w:val="none" w:color="000000" w:sz="4"/>
                    <w:bottom w:val="non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防火窗</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气密性能、水密性能、抗风压性能</w:t>
                  </w:r>
                </w:p>
              </w:tc>
              <w:tc>
                <w:tcPr>
                  <w:tcW w:type="dxa" w:w="594"/>
                  <w:vMerge/>
                  <w:tcBorders>
                    <w:top w:val="none" w:color="000000" w:sz="4"/>
                    <w:left w:val="none" w:color="000000" w:sz="4"/>
                    <w:bottom w:val="single" w:color="000000" w:sz="4"/>
                    <w:right w:val="single" w:color="000000" w:sz="4"/>
                  </w:tcBorders>
                </w:tcPr>
                <w:p/>
              </w:tc>
              <w:tc>
                <w:tcPr>
                  <w:tcW w:type="dxa" w:w="446"/>
                  <w:vMerge/>
                  <w:tcBorders>
                    <w:top w:val="none" w:color="000000" w:sz="4"/>
                    <w:left w:val="none" w:color="000000" w:sz="4"/>
                    <w:bottom w:val="single" w:color="000000" w:sz="4"/>
                    <w:right w:val="single" w:color="000000" w:sz="4"/>
                  </w:tcBorders>
                </w:tcP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54</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樘</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6"/>
                  <w:vMerge/>
                  <w:tcBorders>
                    <w:top w:val="single" w:color="000000" w:sz="4"/>
                    <w:left w:val="single" w:color="000000" w:sz="4"/>
                    <w:bottom w:val="none" w:color="000000" w:sz="4"/>
                    <w:right w:val="single" w:color="000000" w:sz="4"/>
                  </w:tcBorders>
                </w:tcPr>
                <w:p/>
              </w:tc>
              <w:tc>
                <w:tcPr>
                  <w:tcW w:type="dxa" w:w="186"/>
                  <w:vMerge/>
                  <w:tcBorders>
                    <w:top w:val="single" w:color="000000" w:sz="4"/>
                    <w:left w:val="none" w:color="000000" w:sz="4"/>
                    <w:bottom w:val="non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内窗</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气密性能、水密性能、抗风压性能</w:t>
                  </w:r>
                </w:p>
              </w:tc>
              <w:tc>
                <w:tcPr>
                  <w:tcW w:type="dxa" w:w="594"/>
                  <w:vMerge/>
                  <w:tcBorders>
                    <w:top w:val="none" w:color="000000" w:sz="4"/>
                    <w:left w:val="none" w:color="000000" w:sz="4"/>
                    <w:bottom w:val="single" w:color="000000" w:sz="4"/>
                    <w:right w:val="single" w:color="000000" w:sz="4"/>
                  </w:tcBorders>
                </w:tcPr>
                <w:p/>
              </w:tc>
              <w:tc>
                <w:tcPr>
                  <w:tcW w:type="dxa" w:w="446"/>
                  <w:vMerge/>
                  <w:tcBorders>
                    <w:top w:val="none" w:color="000000" w:sz="4"/>
                    <w:left w:val="none" w:color="000000" w:sz="4"/>
                    <w:bottom w:val="single" w:color="000000" w:sz="4"/>
                    <w:right w:val="single" w:color="000000" w:sz="4"/>
                  </w:tcBorders>
                </w:tcP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樘</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6"/>
                  <w:vMerge/>
                  <w:tcBorders>
                    <w:top w:val="single" w:color="000000" w:sz="4"/>
                    <w:left w:val="single" w:color="000000" w:sz="4"/>
                    <w:bottom w:val="none" w:color="000000" w:sz="4"/>
                    <w:right w:val="single" w:color="000000" w:sz="4"/>
                  </w:tcBorders>
                </w:tcPr>
                <w:p/>
              </w:tc>
              <w:tc>
                <w:tcPr>
                  <w:tcW w:type="dxa" w:w="186"/>
                  <w:vMerge/>
                  <w:tcBorders>
                    <w:top w:val="single" w:color="000000" w:sz="4"/>
                    <w:left w:val="none" w:color="000000" w:sz="4"/>
                    <w:bottom w:val="non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组合门窗</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气密性能、水密性能、抗风压性能</w:t>
                  </w:r>
                </w:p>
              </w:tc>
              <w:tc>
                <w:tcPr>
                  <w:tcW w:type="dxa" w:w="594"/>
                  <w:vMerge/>
                  <w:tcBorders>
                    <w:top w:val="none" w:color="000000" w:sz="4"/>
                    <w:left w:val="none" w:color="000000" w:sz="4"/>
                    <w:bottom w:val="single" w:color="000000" w:sz="4"/>
                    <w:right w:val="single" w:color="000000" w:sz="4"/>
                  </w:tcBorders>
                </w:tcPr>
                <w:p/>
              </w:tc>
              <w:tc>
                <w:tcPr>
                  <w:tcW w:type="dxa" w:w="446"/>
                  <w:vMerge/>
                  <w:tcBorders>
                    <w:top w:val="none" w:color="000000" w:sz="4"/>
                    <w:left w:val="none" w:color="000000" w:sz="4"/>
                    <w:bottom w:val="single" w:color="000000" w:sz="4"/>
                    <w:right w:val="single" w:color="000000" w:sz="4"/>
                  </w:tcBorders>
                </w:tcP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樘</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6"/>
                  <w:vMerge/>
                  <w:tcBorders>
                    <w:top w:val="single" w:color="000000" w:sz="4"/>
                    <w:left w:val="single" w:color="000000" w:sz="4"/>
                    <w:bottom w:val="none" w:color="000000" w:sz="4"/>
                    <w:right w:val="single" w:color="000000" w:sz="4"/>
                  </w:tcBorders>
                </w:tcPr>
                <w:p/>
              </w:tc>
              <w:tc>
                <w:tcPr>
                  <w:tcW w:type="dxa" w:w="186"/>
                  <w:vMerge/>
                  <w:tcBorders>
                    <w:top w:val="single" w:color="000000" w:sz="4"/>
                    <w:left w:val="none" w:color="000000" w:sz="4"/>
                    <w:bottom w:val="non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电动窗</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气密性能、水密性能、抗风压性能</w:t>
                  </w:r>
                </w:p>
              </w:tc>
              <w:tc>
                <w:tcPr>
                  <w:tcW w:type="dxa" w:w="594"/>
                  <w:vMerge/>
                  <w:tcBorders>
                    <w:top w:val="none" w:color="000000" w:sz="4"/>
                    <w:left w:val="none" w:color="000000" w:sz="4"/>
                    <w:bottom w:val="single" w:color="000000" w:sz="4"/>
                    <w:right w:val="single" w:color="000000" w:sz="4"/>
                  </w:tcBorders>
                </w:tcPr>
                <w:p/>
              </w:tc>
              <w:tc>
                <w:tcPr>
                  <w:tcW w:type="dxa" w:w="446"/>
                  <w:vMerge/>
                  <w:tcBorders>
                    <w:top w:val="none" w:color="000000" w:sz="4"/>
                    <w:left w:val="none" w:color="000000" w:sz="4"/>
                    <w:bottom w:val="single" w:color="000000" w:sz="4"/>
                    <w:right w:val="single" w:color="000000" w:sz="4"/>
                  </w:tcBorders>
                </w:tcP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46</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樘</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6"/>
                  <w:vMerge/>
                  <w:tcBorders>
                    <w:top w:val="single" w:color="000000" w:sz="4"/>
                    <w:left w:val="single" w:color="000000" w:sz="4"/>
                    <w:bottom w:val="none" w:color="000000" w:sz="4"/>
                    <w:right w:val="single" w:color="000000" w:sz="4"/>
                  </w:tcBorders>
                </w:tcPr>
                <w:p/>
              </w:tc>
              <w:tc>
                <w:tcPr>
                  <w:tcW w:type="dxa" w:w="186"/>
                  <w:vMerge/>
                  <w:tcBorders>
                    <w:top w:val="single" w:color="000000" w:sz="4"/>
                    <w:left w:val="none" w:color="000000" w:sz="4"/>
                    <w:bottom w:val="non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转角窗</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气密性能、水密性能、抗风压性能</w:t>
                  </w:r>
                </w:p>
              </w:tc>
              <w:tc>
                <w:tcPr>
                  <w:tcW w:type="dxa" w:w="594"/>
                  <w:vMerge/>
                  <w:tcBorders>
                    <w:top w:val="none" w:color="000000" w:sz="4"/>
                    <w:left w:val="none" w:color="000000" w:sz="4"/>
                    <w:bottom w:val="single" w:color="000000" w:sz="4"/>
                    <w:right w:val="single" w:color="000000" w:sz="4"/>
                  </w:tcBorders>
                </w:tcPr>
                <w:p/>
              </w:tc>
              <w:tc>
                <w:tcPr>
                  <w:tcW w:type="dxa" w:w="446"/>
                  <w:vMerge/>
                  <w:tcBorders>
                    <w:top w:val="none" w:color="000000" w:sz="4"/>
                    <w:left w:val="none" w:color="000000" w:sz="4"/>
                    <w:bottom w:val="single" w:color="000000" w:sz="4"/>
                    <w:right w:val="single" w:color="000000" w:sz="4"/>
                  </w:tcBorders>
                </w:tcP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樘</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6"/>
                  <w:vMerge/>
                  <w:tcBorders>
                    <w:top w:val="single" w:color="000000" w:sz="4"/>
                    <w:left w:val="single" w:color="000000" w:sz="4"/>
                    <w:bottom w:val="none" w:color="000000" w:sz="4"/>
                    <w:right w:val="single" w:color="000000" w:sz="4"/>
                  </w:tcBorders>
                </w:tcPr>
                <w:p/>
              </w:tc>
              <w:tc>
                <w:tcPr>
                  <w:tcW w:type="dxa" w:w="186"/>
                  <w:vMerge/>
                  <w:tcBorders>
                    <w:top w:val="single" w:color="000000" w:sz="4"/>
                    <w:left w:val="none" w:color="000000" w:sz="4"/>
                    <w:bottom w:val="non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电线电缆</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导体电阻值</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同厂家各种规格总数的</w:t>
                  </w:r>
                  <w:r>
                    <w:rPr>
                      <w:rFonts w:ascii="仿宋_GB2312" w:hAnsi="仿宋_GB2312" w:cs="仿宋_GB2312" w:eastAsia="仿宋_GB2312"/>
                      <w:sz w:val="20"/>
                    </w:rPr>
                    <w:t>10%，且不少于2个规格。</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GB50411-2019&lt;建筑节能工程施工质量验收标准&gt;第12.2.3条</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两个厂家，抽</w:t>
                  </w:r>
                  <w:r>
                    <w:rPr>
                      <w:rFonts w:ascii="仿宋_GB2312" w:hAnsi="仿宋_GB2312" w:cs="仿宋_GB2312" w:eastAsia="仿宋_GB2312"/>
                      <w:sz w:val="20"/>
                    </w:rPr>
                    <w:t>11个规格</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米</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1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建筑</w:t>
                  </w:r>
                  <w:r>
                    <w:br/>
                  </w:r>
                  <w:r>
                    <w:rPr>
                      <w:rFonts w:ascii="仿宋_GB2312" w:hAnsi="仿宋_GB2312" w:cs="仿宋_GB2312" w:eastAsia="仿宋_GB2312"/>
                      <w:sz w:val="20"/>
                    </w:rPr>
                    <w:t>幕墙</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铝塑复合板</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剥离强度</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以连续生产的同一品种、同一规格、同一颜色的产品</w:t>
                  </w:r>
                  <w:r>
                    <w:rPr>
                      <w:rFonts w:ascii="仿宋_GB2312" w:hAnsi="仿宋_GB2312" w:cs="仿宋_GB2312" w:eastAsia="仿宋_GB2312"/>
                      <w:sz w:val="20"/>
                    </w:rPr>
                    <w:t>3000 m2 为一批,不足3000 m2 的按一批</w:t>
                  </w:r>
                  <w:r>
                    <w:br/>
                  </w:r>
                  <w:r>
                    <w:rPr>
                      <w:rFonts w:ascii="仿宋_GB2312" w:hAnsi="仿宋_GB2312" w:cs="仿宋_GB2312" w:eastAsia="仿宋_GB2312"/>
                      <w:sz w:val="20"/>
                    </w:rPr>
                    <w:t>计算</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GB/T17748—2016《建筑幕墙用铝塑复合板》第8.3条</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28916.694</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m2</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6"/>
                  <w:vMerge/>
                  <w:tcBorders>
                    <w:top w:val="none" w:color="000000" w:sz="4"/>
                    <w:left w:val="singl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石材、瓷板、陶板、微晶玻璃板、木材纤维板、纤维水泥板何石材蜂窝板</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抗弯强度</w:t>
                  </w:r>
                </w:p>
              </w:tc>
              <w:tc>
                <w:tcPr>
                  <w:tcW w:type="dxa" w:w="59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同厂家、同品种产品、幕墙面积在</w:t>
                  </w:r>
                  <w:r>
                    <w:rPr>
                      <w:rFonts w:ascii="仿宋_GB2312" w:hAnsi="仿宋_GB2312" w:cs="仿宋_GB2312" w:eastAsia="仿宋_GB2312"/>
                      <w:sz w:val="20"/>
                    </w:rPr>
                    <w:t>3000m2以内时应复验1次；面积每增加3000m2应增加1次。同工程项目、同施工单位且同期施工的多个单位工程，可合并计算抽检面积。</w:t>
                  </w:r>
                </w:p>
              </w:tc>
              <w:tc>
                <w:tcPr>
                  <w:tcW w:type="dxa" w:w="4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GB50411-2019《建筑节能工程施工质量验收标准》第5.2.2条</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60736.977</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m2</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6"/>
                  <w:vMerge/>
                  <w:tcBorders>
                    <w:top w:val="none" w:color="000000" w:sz="4"/>
                    <w:left w:val="singl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结构胶</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邵氏硬度、标准条件下的拉伸粘结强度、相容性、剥离粘结性、石材用密封胶的污染性</w:t>
                  </w:r>
                </w:p>
              </w:tc>
              <w:tc>
                <w:tcPr>
                  <w:tcW w:type="dxa" w:w="594"/>
                  <w:vMerge/>
                  <w:tcBorders>
                    <w:top w:val="none" w:color="000000" w:sz="4"/>
                    <w:left w:val="none" w:color="000000" w:sz="4"/>
                    <w:bottom w:val="single" w:color="000000" w:sz="4"/>
                    <w:right w:val="single" w:color="000000" w:sz="4"/>
                  </w:tcBorders>
                </w:tcPr>
                <w:p/>
              </w:tc>
              <w:tc>
                <w:tcPr>
                  <w:tcW w:type="dxa" w:w="446"/>
                  <w:vMerge/>
                  <w:tcBorders>
                    <w:top w:val="none" w:color="000000" w:sz="4"/>
                    <w:left w:val="none" w:color="000000" w:sz="4"/>
                    <w:bottom w:val="single" w:color="000000" w:sz="4"/>
                    <w:right w:val="single" w:color="000000" w:sz="4"/>
                  </w:tcBorders>
                </w:tcP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60736.977</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6"/>
                  <w:vMerge/>
                  <w:tcBorders>
                    <w:top w:val="none" w:color="000000" w:sz="4"/>
                    <w:left w:val="singl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中空玻璃</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密封性能</w:t>
                  </w:r>
                </w:p>
              </w:tc>
              <w:tc>
                <w:tcPr>
                  <w:tcW w:type="dxa" w:w="594"/>
                  <w:vMerge/>
                  <w:tcBorders>
                    <w:top w:val="none" w:color="000000" w:sz="4"/>
                    <w:left w:val="none" w:color="000000" w:sz="4"/>
                    <w:bottom w:val="single" w:color="000000" w:sz="4"/>
                    <w:right w:val="single" w:color="000000" w:sz="4"/>
                  </w:tcBorders>
                </w:tcPr>
                <w:p/>
              </w:tc>
              <w:tc>
                <w:tcPr>
                  <w:tcW w:type="dxa" w:w="446"/>
                  <w:vMerge/>
                  <w:tcBorders>
                    <w:top w:val="none" w:color="000000" w:sz="4"/>
                    <w:left w:val="none" w:color="000000" w:sz="4"/>
                    <w:bottom w:val="single" w:color="000000" w:sz="4"/>
                    <w:right w:val="single" w:color="000000" w:sz="4"/>
                  </w:tcBorders>
                </w:tcP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60736.977</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m2</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6"/>
                  <w:vMerge/>
                  <w:tcBorders>
                    <w:top w:val="none" w:color="000000" w:sz="4"/>
                    <w:left w:val="singl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铝材、钢材主要受力杆件</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抗拉强度</w:t>
                  </w:r>
                </w:p>
              </w:tc>
              <w:tc>
                <w:tcPr>
                  <w:tcW w:type="dxa" w:w="594"/>
                  <w:vMerge/>
                  <w:tcBorders>
                    <w:top w:val="none" w:color="000000" w:sz="4"/>
                    <w:left w:val="none" w:color="000000" w:sz="4"/>
                    <w:bottom w:val="single" w:color="000000" w:sz="4"/>
                    <w:right w:val="single" w:color="000000" w:sz="4"/>
                  </w:tcBorders>
                </w:tcPr>
                <w:p/>
              </w:tc>
              <w:tc>
                <w:tcPr>
                  <w:tcW w:type="dxa" w:w="446"/>
                  <w:vMerge/>
                  <w:tcBorders>
                    <w:top w:val="none" w:color="000000" w:sz="4"/>
                    <w:left w:val="none" w:color="000000" w:sz="4"/>
                    <w:bottom w:val="single" w:color="000000" w:sz="4"/>
                    <w:right w:val="single" w:color="000000" w:sz="4"/>
                  </w:tcBorders>
                </w:tcP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60736.977</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m2</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6"/>
                  <w:vMerge/>
                  <w:tcBorders>
                    <w:top w:val="none" w:color="000000" w:sz="4"/>
                    <w:left w:val="singl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幕墙玻璃</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传热系数、可见光透射比、遮阳系数、中空玻璃的密封性能</w:t>
                  </w:r>
                </w:p>
              </w:tc>
              <w:tc>
                <w:tcPr>
                  <w:tcW w:type="dxa" w:w="594"/>
                  <w:vMerge/>
                  <w:tcBorders>
                    <w:top w:val="none" w:color="000000" w:sz="4"/>
                    <w:left w:val="none" w:color="000000" w:sz="4"/>
                    <w:bottom w:val="single" w:color="000000" w:sz="4"/>
                    <w:right w:val="single" w:color="000000" w:sz="4"/>
                  </w:tcBorders>
                </w:tcPr>
                <w:p/>
              </w:tc>
              <w:tc>
                <w:tcPr>
                  <w:tcW w:type="dxa" w:w="446"/>
                  <w:vMerge/>
                  <w:tcBorders>
                    <w:top w:val="none" w:color="000000" w:sz="4"/>
                    <w:left w:val="none" w:color="000000" w:sz="4"/>
                    <w:bottom w:val="single" w:color="000000" w:sz="4"/>
                    <w:right w:val="single" w:color="000000" w:sz="4"/>
                  </w:tcBorders>
                </w:tcP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60736.977</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m2</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6"/>
                  <w:vMerge/>
                  <w:tcBorders>
                    <w:top w:val="none" w:color="000000" w:sz="4"/>
                    <w:left w:val="singl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幕墙</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气密性能、水密性能、抗风压性能、层间变形性能、后置埋件抗拔承载力</w:t>
                  </w:r>
                </w:p>
              </w:tc>
              <w:tc>
                <w:tcPr>
                  <w:tcW w:type="dxa" w:w="594"/>
                  <w:vMerge/>
                  <w:tcBorders>
                    <w:top w:val="none" w:color="000000" w:sz="4"/>
                    <w:left w:val="none" w:color="000000" w:sz="4"/>
                    <w:bottom w:val="single" w:color="000000" w:sz="4"/>
                    <w:right w:val="single" w:color="000000" w:sz="4"/>
                  </w:tcBorders>
                </w:tcPr>
                <w:p/>
              </w:tc>
              <w:tc>
                <w:tcPr>
                  <w:tcW w:type="dxa" w:w="446"/>
                  <w:vMerge/>
                  <w:tcBorders>
                    <w:top w:val="none" w:color="000000" w:sz="4"/>
                    <w:left w:val="none" w:color="000000" w:sz="4"/>
                    <w:bottom w:val="single" w:color="000000" w:sz="4"/>
                    <w:right w:val="single" w:color="000000" w:sz="4"/>
                  </w:tcBorders>
                </w:tcP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60736.977</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m2</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6"/>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18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室内环境工程</w:t>
                  </w:r>
                </w:p>
              </w:tc>
              <w:tc>
                <w:tcPr>
                  <w:tcW w:type="dxa" w:w="21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室内空气</w:t>
                  </w:r>
                </w:p>
              </w:tc>
              <w:tc>
                <w:tcPr>
                  <w:tcW w:type="dxa" w:w="28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甲醛、苯、甲苯、二甲苯、</w:t>
                  </w:r>
                  <w:r>
                    <w:rPr>
                      <w:rFonts w:ascii="仿宋_GB2312" w:hAnsi="仿宋_GB2312" w:cs="仿宋_GB2312" w:eastAsia="仿宋_GB2312"/>
                      <w:sz w:val="20"/>
                    </w:rPr>
                    <w:t>TVOC、氨、氡</w:t>
                  </w:r>
                </w:p>
              </w:tc>
              <w:tc>
                <w:tcPr>
                  <w:tcW w:type="dxa" w:w="59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抽检数量不少于房间总数的</w:t>
                  </w:r>
                  <w:r>
                    <w:rPr>
                      <w:rFonts w:ascii="仿宋_GB2312" w:hAnsi="仿宋_GB2312" w:cs="仿宋_GB2312" w:eastAsia="仿宋_GB2312"/>
                      <w:sz w:val="20"/>
                    </w:rPr>
                    <w:t>5%，每个建筑单体不得少于3间，当房间总数少于3间时，应全数检测</w:t>
                  </w:r>
                </w:p>
              </w:tc>
              <w:tc>
                <w:tcPr>
                  <w:tcW w:type="dxa" w:w="44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GB50325-2020《民用建筑工程室内环境污染控制标准》第6.0.12条</w:t>
                  </w:r>
                </w:p>
              </w:tc>
              <w:tc>
                <w:tcPr>
                  <w:tcW w:type="dxa" w:w="24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1500.00</w:t>
                  </w:r>
                </w:p>
              </w:tc>
              <w:tc>
                <w:tcPr>
                  <w:tcW w:type="dxa" w:w="16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间</w:t>
                  </w:r>
                </w:p>
              </w:tc>
              <w:tc>
                <w:tcPr>
                  <w:tcW w:type="dxa" w:w="168"/>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114333</w:t>
                  </w:r>
                </w:p>
              </w:tc>
              <w:tc>
                <w:tcPr>
                  <w:tcW w:type="dxa" w:w="11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按建筑面积计费</w:t>
                  </w:r>
                  <w:r>
                    <w:rPr>
                      <w:rFonts w:ascii="仿宋_GB2312" w:hAnsi="仿宋_GB2312" w:cs="仿宋_GB2312" w:eastAsia="仿宋_GB2312"/>
                      <w:sz w:val="20"/>
                    </w:rPr>
                    <w:t>/㎡</w:t>
                  </w:r>
                </w:p>
              </w:tc>
            </w:tr>
            <w:tr>
              <w:tc>
                <w:tcPr>
                  <w:tcW w:type="dxa" w:w="12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18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锚钉拉拔</w:t>
                  </w:r>
                </w:p>
              </w:tc>
              <w:tc>
                <w:tcPr>
                  <w:tcW w:type="dxa" w:w="2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1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6"/>
                  <w:vMerge/>
                  <w:tcBorders>
                    <w:top w:val="single" w:color="000000" w:sz="4"/>
                    <w:left w:val="single" w:color="000000" w:sz="4"/>
                    <w:bottom w:val="single" w:color="000000" w:sz="4"/>
                    <w:right w:val="single" w:color="000000" w:sz="4"/>
                  </w:tcBorders>
                </w:tcPr>
                <w:p/>
              </w:tc>
              <w:tc>
                <w:tcPr>
                  <w:tcW w:type="dxa" w:w="186"/>
                  <w:vMerge/>
                  <w:tcBorders>
                    <w:top w:val="singl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门窗现场气密性</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6"/>
                  <w:vMerge/>
                  <w:tcBorders>
                    <w:top w:val="single" w:color="000000" w:sz="4"/>
                    <w:left w:val="single" w:color="000000" w:sz="4"/>
                    <w:bottom w:val="single" w:color="000000" w:sz="4"/>
                    <w:right w:val="single" w:color="000000" w:sz="4"/>
                  </w:tcBorders>
                </w:tcPr>
                <w:p/>
              </w:tc>
              <w:tc>
                <w:tcPr>
                  <w:tcW w:type="dxa" w:w="186"/>
                  <w:vMerge/>
                  <w:tcBorders>
                    <w:top w:val="singl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构造取芯</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6"/>
                  <w:vMerge/>
                  <w:tcBorders>
                    <w:top w:val="single" w:color="000000" w:sz="4"/>
                    <w:left w:val="single" w:color="000000" w:sz="4"/>
                    <w:bottom w:val="single" w:color="000000" w:sz="4"/>
                    <w:right w:val="single" w:color="000000" w:sz="4"/>
                  </w:tcBorders>
                </w:tcPr>
                <w:p/>
              </w:tc>
              <w:tc>
                <w:tcPr>
                  <w:tcW w:type="dxa" w:w="186"/>
                  <w:vMerge/>
                  <w:tcBorders>
                    <w:top w:val="single" w:color="000000" w:sz="4"/>
                    <w:left w:val="none" w:color="000000" w:sz="4"/>
                    <w:bottom w:val="single" w:color="000000" w:sz="4"/>
                    <w:right w:val="single" w:color="000000" w:sz="4"/>
                  </w:tcBorders>
                </w:tc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噪声、照明</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left"/>
            </w:pPr>
            <w:r>
              <w:rPr>
                <w:rFonts w:ascii="仿宋_GB2312" w:hAnsi="仿宋_GB2312" w:cs="仿宋_GB2312" w:eastAsia="仿宋_GB2312"/>
                <w:sz w:val="21"/>
              </w:rPr>
              <w:t>注：</w:t>
            </w:r>
            <w:r>
              <w:rPr>
                <w:rFonts w:ascii="仿宋_GB2312" w:hAnsi="仿宋_GB2312" w:cs="仿宋_GB2312" w:eastAsia="仿宋_GB2312"/>
                <w:sz w:val="22"/>
              </w:rPr>
              <w:t>1、投标报价为含增值税的交钥匙价，包含项目的检测费、采购代理服务费、税金等完成本项目所需的一切费用。</w:t>
            </w:r>
          </w:p>
          <w:p>
            <w:pPr>
              <w:pStyle w:val="null3"/>
              <w:numPr>
                <w:ilvl w:val="0"/>
                <w:numId w:val="1"/>
              </w:numPr>
              <w:jc w:val="left"/>
            </w:pPr>
            <w:r>
              <w:rPr>
                <w:rFonts w:ascii="仿宋_GB2312" w:hAnsi="仿宋_GB2312" w:cs="仿宋_GB2312" w:eastAsia="仿宋_GB2312"/>
                <w:sz w:val="22"/>
              </w:rPr>
              <w:t>采购需求清单子目及数量为暂估量，包含但不限于采购清单中列明的内容，招标人保留对实际采购数量进行调整（取消或增加或减少）的权利，如实际数量取消或减少，据实结算；如实际数量增加，合同价款不予调整。</w:t>
            </w:r>
          </w:p>
          <w:p>
            <w:pPr>
              <w:pStyle w:val="null3"/>
              <w:jc w:val="both"/>
            </w:pPr>
            <w:r>
              <w:rPr>
                <w:rFonts w:ascii="仿宋_GB2312" w:hAnsi="仿宋_GB2312" w:cs="仿宋_GB2312" w:eastAsia="仿宋_GB2312"/>
                <w:sz w:val="22"/>
              </w:rPr>
              <w:t>3、付款方式：</w:t>
            </w:r>
            <w:r>
              <w:rPr>
                <w:rFonts w:ascii="仿宋_GB2312" w:hAnsi="仿宋_GB2312" w:cs="仿宋_GB2312" w:eastAsia="仿宋_GB2312"/>
                <w:sz w:val="21"/>
              </w:rPr>
              <w:t>1）</w:t>
            </w:r>
            <w:r>
              <w:rPr>
                <w:rFonts w:ascii="仿宋_GB2312" w:hAnsi="仿宋_GB2312" w:cs="仿宋_GB2312" w:eastAsia="仿宋_GB2312"/>
                <w:sz w:val="21"/>
              </w:rPr>
              <w:t>本合同委托的检测服务费根据金额分批次支付。乙方于每批次或单项检测完成且累计检测费用金额大于等于</w:t>
            </w:r>
            <w:r>
              <w:rPr>
                <w:rFonts w:ascii="仿宋_GB2312" w:hAnsi="仿宋_GB2312" w:cs="仿宋_GB2312" w:eastAsia="仿宋_GB2312"/>
                <w:sz w:val="21"/>
              </w:rPr>
              <w:t>20万元，并出具检测报告后 3 个工作日内，将支付申请报送甲方审核。甲方在收到付款申请后 3个工作日内提出审核意见，审核通过后 5 个工作日内支付至该批次检测费的 80%（且不超过合同暂定总价的80%）。全部检测工作完成且通过验收后</w:t>
            </w:r>
            <w:r>
              <w:rPr>
                <w:rFonts w:ascii="仿宋_GB2312" w:hAnsi="仿宋_GB2312" w:cs="仿宋_GB2312" w:eastAsia="仿宋_GB2312"/>
                <w:sz w:val="21"/>
              </w:rPr>
              <w:t>10个工作日</w:t>
            </w:r>
            <w:r>
              <w:rPr>
                <w:rFonts w:ascii="仿宋_GB2312" w:hAnsi="仿宋_GB2312" w:cs="仿宋_GB2312" w:eastAsia="仿宋_GB2312"/>
                <w:sz w:val="21"/>
              </w:rPr>
              <w:t>，付清余款。</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发票要求甲方每次付款前，乙方需提供等额、合法有效的发票。</w:t>
            </w:r>
          </w:p>
          <w:p>
            <w:pPr>
              <w:pStyle w:val="null3"/>
              <w:jc w:val="left"/>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自合同生效之日起至本项目委托范围内全部检测工作完成、检测报告全部出具并提交采购人，且通过竣工验收、合同款项全部结清之日止。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（1）成交单位按合同约定完成所有服务，且服务质量⽆争议。（2）验收依据：院⽅要求，合同⽂本；国家有关的验收标准及规范；磋商⽂件；响应⽂件等材料。</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进度款，本合同委托的检测服务费根据金额分批次支付。乙方于每批次或单项检测完成且累计检测费用金额大于等于20万元，并出具检测报告后 3 个工作日内，将支付申请报送甲方审核。甲方在收到付款申请后 3个工作日内提出审核意见，审核通过后 5 个工作日内支付至该批次检测费的 80%（且不超过合同暂定总价的80%），达到付款条件起5个工作日内，支付合同总金额的80.0%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进度款，全部检测工作完成且通过验收后10个工作日，付清余款，达到付款条件起10个工作日内，支付合同总金额的20.0%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1、商务要求为实质性要求，商务要求不允许负偏离；2、二次报价总价不得高于一次报价总价，全部分项报价须按照相同比例同步下浮，各分项下浮幅度统一，分项价格不得单独上浮。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供应商应提供的资格证明文件--.docx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供应商应提供的资格证明文件--.docx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或2025年度财务审计报告（成立时间至提交投标文件截止时间不足一年的可提供成立后任意时段的资产负债表），或其基本存款账户开户银行出具的资信证明（三个月内）及基本存款账户开户许可证（或基本账户备案证明）</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须提供依法缴纳税收的良好记录：提供投标截止时间前一年内已缴纳的至少一个月纳税凭证或完税证明，依法免税的单位应提供相关证明材料</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须提供依法社会保障资金的良好记录：提供投标截止时间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提供近三年内在经营活动中无重大违法记录的书面声明</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专业技术能力的承诺函</w:t>
            </w:r>
          </w:p>
        </w:tc>
        <w:tc>
          <w:tcPr>
            <w:tcW w:type="dxa" w:w="3322"/>
          </w:tcPr>
          <w:p>
            <w:pPr>
              <w:pStyle w:val="null3"/>
            </w:pPr>
            <w:r>
              <w:rPr>
                <w:rFonts w:ascii="仿宋_GB2312" w:hAnsi="仿宋_GB2312" w:cs="仿宋_GB2312" w:eastAsia="仿宋_GB2312"/>
              </w:rPr>
              <w:t>提供具备履行本合同所必需的设备和专业技术能力的说明及承诺</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提供法定代表人授权委托书原件（附法定代表人、被授权人身份证复印件）及被授权人身份证原件（法定代表人参会只须提供其身份证原件）</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信用中国等网站信用查询截图</w:t>
            </w:r>
          </w:p>
        </w:tc>
        <w:tc>
          <w:tcPr>
            <w:tcW w:type="dxa" w:w="3322"/>
          </w:tcPr>
          <w:p>
            <w:pPr>
              <w:pStyle w:val="null3"/>
            </w:pPr>
            <w:r>
              <w:rPr>
                <w:rFonts w:ascii="仿宋_GB2312" w:hAnsi="仿宋_GB2312" w:cs="仿宋_GB2312" w:eastAsia="仿宋_GB2312"/>
              </w:rPr>
              <w:t>供应商在投标截止日前未被列入失信被执行人、重大税收违法案件当事人名单、政府采购严重违法失信行为记录名单（处罚期限届满的除外（以“信用中国”网站（www.creditchina.gov.cn）查询结果为准）；中国政府采购网（www.ccgp.gov.cn）提供政府采购严重违法失信行为记录名单（处罚期限届满的除外）网站截图并加盖单位公章</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控股管理关系声明函</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单位负责人为同一人或者存在直接控股、管理关系的不同供应商，不得参加同一合同项下的政府采购活动的书面声明</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同时具有以下两项证书：（1）建设行政主管部门颁发的有效期限内的建设工程质量检测机构综合资质证书或专项资质证书（专项资质证书中检测专项应包括建筑材料及构配件、主体结构及装饰装修、建筑节能、建筑幕墙）；（2）供应商应具有行政主管部门颁发的有效的检验检测机构资质认定证书（CMA）。</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项目负责人要求</w:t>
            </w:r>
          </w:p>
        </w:tc>
        <w:tc>
          <w:tcPr>
            <w:tcW w:type="dxa" w:w="3322"/>
          </w:tcPr>
          <w:p>
            <w:pPr>
              <w:pStyle w:val="null3"/>
            </w:pPr>
            <w:r>
              <w:rPr>
                <w:rFonts w:ascii="仿宋_GB2312" w:hAnsi="仿宋_GB2312" w:cs="仿宋_GB2312" w:eastAsia="仿宋_GB2312"/>
              </w:rPr>
              <w:t>项目负责人具备工程类高级及以上技术职称，且在本单位任职。</w:t>
            </w:r>
          </w:p>
        </w:tc>
        <w:tc>
          <w:tcPr>
            <w:tcW w:type="dxa" w:w="1661"/>
          </w:tcPr>
          <w:p>
            <w:pPr>
              <w:pStyle w:val="null3"/>
            </w:pPr>
            <w:r>
              <w:rPr>
                <w:rFonts w:ascii="仿宋_GB2312" w:hAnsi="仿宋_GB2312" w:cs="仿宋_GB2312" w:eastAsia="仿宋_GB2312"/>
              </w:rPr>
              <w:t>供应商应提供的资格证明文件--.docx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报价唯一，且没有超过最高限价。</w:t>
            </w:r>
          </w:p>
        </w:tc>
        <w:tc>
          <w:tcPr>
            <w:tcW w:type="dxa" w:w="1661"/>
          </w:tcPr>
          <w:p>
            <w:pPr>
              <w:pStyle w:val="null3"/>
            </w:pPr>
            <w:r>
              <w:rPr>
                <w:rFonts w:ascii="仿宋_GB2312" w:hAnsi="仿宋_GB2312" w:cs="仿宋_GB2312" w:eastAsia="仿宋_GB2312"/>
              </w:rPr>
              <w:t>响应文件封面 中小企业声明函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响应文件封面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符合磋商文件签字、盖章要求</w:t>
            </w:r>
          </w:p>
        </w:tc>
        <w:tc>
          <w:tcPr>
            <w:tcW w:type="dxa" w:w="1661"/>
          </w:tcPr>
          <w:p>
            <w:pPr>
              <w:pStyle w:val="null3"/>
            </w:pPr>
            <w:r>
              <w:rPr>
                <w:rFonts w:ascii="仿宋_GB2312" w:hAnsi="仿宋_GB2312" w:cs="仿宋_GB2312" w:eastAsia="仿宋_GB2312"/>
              </w:rPr>
              <w:t>中小企业声明函 商务应答表 报价表 类似业绩一览表.docx 投标人认为有必要补充说明的事项.docx 供应商应提供的资格证明文件--.docx 响应文件封面 技术偏离表.docx 主要人员简历表.docx 残疾人福利性单位声明函 服务方案 标的清单 响应函 项目团队组织机构.docx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要求全面响应，符合磋商文件相关要求；不能有任何采购人不能接受的附加条件。</w:t>
            </w:r>
          </w:p>
        </w:tc>
        <w:tc>
          <w:tcPr>
            <w:tcW w:type="dxa" w:w="1661"/>
          </w:tcPr>
          <w:p>
            <w:pPr>
              <w:pStyle w:val="null3"/>
            </w:pPr>
            <w:r>
              <w:rPr>
                <w:rFonts w:ascii="仿宋_GB2312" w:hAnsi="仿宋_GB2312" w:cs="仿宋_GB2312" w:eastAsia="仿宋_GB2312"/>
              </w:rPr>
              <w:t>响应文件封面 商务应答表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法规明确规定响应无效的事项</w:t>
            </w:r>
          </w:p>
        </w:tc>
        <w:tc>
          <w:tcPr>
            <w:tcW w:type="dxa" w:w="3322"/>
          </w:tcPr>
          <w:p>
            <w:pPr>
              <w:pStyle w:val="null3"/>
            </w:pPr>
            <w:r>
              <w:rPr>
                <w:rFonts w:ascii="仿宋_GB2312" w:hAnsi="仿宋_GB2312" w:cs="仿宋_GB2312" w:eastAsia="仿宋_GB2312"/>
              </w:rPr>
              <w:t>没有出现法律法规或磋商文件明确规定的其他被视为“无效投标”的情形。</w:t>
            </w:r>
          </w:p>
        </w:tc>
        <w:tc>
          <w:tcPr>
            <w:tcW w:type="dxa" w:w="1661"/>
          </w:tcPr>
          <w:p>
            <w:pPr>
              <w:pStyle w:val="null3"/>
            </w:pPr>
            <w:r>
              <w:rPr>
                <w:rFonts w:ascii="仿宋_GB2312" w:hAnsi="仿宋_GB2312" w:cs="仿宋_GB2312" w:eastAsia="仿宋_GB2312"/>
              </w:rPr>
              <w:t>响应文件封面 技术偏离表.docx 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检测实施方案与专项方案</w:t>
            </w:r>
          </w:p>
        </w:tc>
        <w:tc>
          <w:tcPr>
            <w:tcW w:type="dxa" w:w="2492"/>
          </w:tcPr>
          <w:p>
            <w:pPr>
              <w:pStyle w:val="null3"/>
            </w:pPr>
            <w:r>
              <w:rPr>
                <w:rFonts w:ascii="仿宋_GB2312" w:hAnsi="仿宋_GB2312" w:cs="仿宋_GB2312" w:eastAsia="仿宋_GB2312"/>
              </w:rPr>
              <w:t>一、评审内容： 针对本项目提供检测实施方案与专项方案。检测范围全覆盖，检测项目划分清晰；针对本项目的关键节点（适用于本项目）制定了详细的专项检测方案。 二、评审标准： 1、完整性：方案须全面，对评审内容中的各项要求有详细描述； 2、可实施性：切合本项目实际情况，实施步骤清晰、合理； 3、针对性：方案能够紧扣项目实际情况，内容科学合理。 三、赋分标准（15分）： 每完全满足一个评审标准得5分，基本满足一个评审标准得2.5分，内容与评审标准对比有缺陷得1.5分。（缺陷指内容与项目特点不匹配、逻辑不通顺、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质量保证体系及方案</w:t>
            </w:r>
          </w:p>
        </w:tc>
        <w:tc>
          <w:tcPr>
            <w:tcW w:type="dxa" w:w="2492"/>
          </w:tcPr>
          <w:p>
            <w:pPr>
              <w:pStyle w:val="null3"/>
            </w:pPr>
            <w:r>
              <w:rPr>
                <w:rFonts w:ascii="仿宋_GB2312" w:hAnsi="仿宋_GB2312" w:cs="仿宋_GB2312" w:eastAsia="仿宋_GB2312"/>
              </w:rPr>
              <w:t>一、评审内容 针对本项目提供质量保证体系及方案。严格依据ISO/IEC 17025及《建设工程质量检测管理办法》（住建部57号令）建立质量管理体系。体系文件完善，三级复核制度健全，信息化数据追溯系统完善，能有效规避检测风险。 二、评审标准 1、完整性：方案须全面，对评审内容中的各项要求有详细描述； 2、可实施性：切合本项目实际情况，实施步骤清晰、合理； 3、针对性：方案能够紧扣项目实际情况，内容科学合理。 三、赋分标准（12分）： 每完全满足一个评审标准得4分，基本满足一个评审标准得2分，内容与评审标准对比有缺陷得1分。（缺陷指内容与项目特点不匹配、逻辑不通顺、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工作进度保证措施</w:t>
            </w:r>
          </w:p>
        </w:tc>
        <w:tc>
          <w:tcPr>
            <w:tcW w:type="dxa" w:w="2492"/>
          </w:tcPr>
          <w:p>
            <w:pPr>
              <w:pStyle w:val="null3"/>
            </w:pPr>
            <w:r>
              <w:rPr>
                <w:rFonts w:ascii="仿宋_GB2312" w:hAnsi="仿宋_GB2312" w:cs="仿宋_GB2312" w:eastAsia="仿宋_GB2312"/>
              </w:rPr>
              <w:t>一、评审内容 针对本项目提供服务进度与承诺。内容包括①报告交付时效及保障措施（承诺在常规检测完成后3-5个工作日内出具正式报告）②服务响应及保障措施（承诺24小时到场响应，配合工程验收、隐蔽工程验收及突发质量问题处理）。 二、评审标准 1、完整性：方案须全面，对评审内容中的各项要求有详细描述； 2、可实施性：切合本项目实际情况，实施步骤清晰、合理； 3、针对性：方案能够紧扣项目实际情况，内容科学合理。 三、赋分标准（9分） ①报告交付时效及保障措施：每完全满足一个评审标准得1.5分，基本满足一个评审标准得0.75分，内容与评审标准对比有缺陷得0.5分。 ②服务响应及保障措施：每完全满足一个评审标准得1.5分，基本满足一个评审标准得0.75分，内容与评审标准对比有缺陷得0.5。（缺陷指内容与项目特点不匹配、逻辑不通顺、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一、评审内容包括：1.售后服务体系（内容、时限、团队等）；2.回访及突发情况处理方案； 评审标准： 1.完整性：须全面，对评审项有详细描述及说明；2.针对性：能够紧扣项目实际情况，内容科学合理。 二、赋分标准（4分）： ①售后服务体系（内容、时限、团队等）：每完全满足一个评审标准得1分，基本满足一个评审标准得0.75分，内容与评审标准对比有缺陷得0.5分。 ②回访及突发情况处理方案：每完全满足一个评审标准得1分，基本满足一个评审标准得0.75分，内容与评审标准对比有缺陷得0.5。（缺陷指内容与项目特点不匹配、逻辑不通顺、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项目团队组织机构</w:t>
            </w:r>
          </w:p>
        </w:tc>
        <w:tc>
          <w:tcPr>
            <w:tcW w:type="dxa" w:w="2492"/>
          </w:tcPr>
          <w:p>
            <w:pPr>
              <w:pStyle w:val="null3"/>
            </w:pPr>
            <w:r>
              <w:rPr>
                <w:rFonts w:ascii="仿宋_GB2312" w:hAnsi="仿宋_GB2312" w:cs="仿宋_GB2312" w:eastAsia="仿宋_GB2312"/>
              </w:rPr>
              <w:t>拟派项目团队成员（17分） 1、项目负责人：具备工程类高级以上职称得3分。 2.团队检测人员配置：具备节能、建材、结构、地基等专业检测人员，每配备1名检测人员得1分，本项最高得9分（注：人员提供投标截止前六个月内任意一个月的社保证明、身份证、检测人员资格证书或检测人员结业证书） 3.团队人员职称情况：每提供一名工程类高级及以上职称得1分，每提供一名工程类中级职称得0.5分，本项最高得5分。（注：人员提供投标截止前六个月内任意一个月的社保证明、身份证、职称证书）。 注：团队检测人员配置和团队人员职称两条评审项可重复计分。</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项目团队组织机构.docx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自2023年至1月1日至投标截止时间（以合同签订时间为准)投标人承担的类似项目业绩，每提供1个类似项目业绩得3分，本项最高15分，未提供不得分。 （二）评分依据： 1.须提供项目合同复印件； 2、合同须包含合同关键页、签约日期、盖章页等，未提供不得分； 3.通过合同关键信息无法判断是否得分的，评分中出现无证明资料或专家无法凭所提供资料判断是否得分的情况，一律作不得分处理。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类似业绩一览表.docx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履约能力（检测设备）</w:t>
            </w:r>
          </w:p>
        </w:tc>
        <w:tc>
          <w:tcPr>
            <w:tcW w:type="dxa" w:w="2492"/>
          </w:tcPr>
          <w:p>
            <w:pPr>
              <w:pStyle w:val="null3"/>
            </w:pPr>
            <w:r>
              <w:rPr>
                <w:rFonts w:ascii="仿宋_GB2312" w:hAnsi="仿宋_GB2312" w:cs="仿宋_GB2312" w:eastAsia="仿宋_GB2312"/>
              </w:rPr>
              <w:t>投标人具有相应的专业制作设备：外墙外保温系统耐候性能检测试验机、智能式建筑门窗保温性能试验机、建筑幕墙物理性能检测设备、外墙外保温系统动风压性能检测设备、电缆光缆耐火试验装置、单根电线电缆垂直燃烧仪、耐火构件综合水平炉、电焊火花试验装置、电线电缆烟密度试验装置；每提供上述一种不同设备得1.5分，共计9分 注：附设备图片及仪器设备鉴定（校准）证书（委托方须为参与本次磋商的供应商）。 评审依据：同类设备不重复计分，须按要求提供相关证明材料，未提供或提供不符合要求的不得分。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承诺响应</w:t>
            </w:r>
          </w:p>
        </w:tc>
        <w:tc>
          <w:tcPr>
            <w:tcW w:type="dxa" w:w="2492"/>
          </w:tcPr>
          <w:p>
            <w:pPr>
              <w:pStyle w:val="null3"/>
            </w:pPr>
            <w:r>
              <w:rPr>
                <w:rFonts w:ascii="仿宋_GB2312" w:hAnsi="仿宋_GB2312" w:cs="仿宋_GB2312" w:eastAsia="仿宋_GB2312"/>
              </w:rPr>
              <w:t>1、承诺所有检测报告及检测参数符合国家标准要求； 2、承诺项目服务进度符合委托人要求； 3、承诺建立项目检测报告（内容数据等信息）的保密措施； 4.承诺付款方式符合招标文件要求； 每承诺一项得1.5分，共计6分。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体系认证</w:t>
            </w:r>
          </w:p>
        </w:tc>
        <w:tc>
          <w:tcPr>
            <w:tcW w:type="dxa" w:w="2492"/>
          </w:tcPr>
          <w:p>
            <w:pPr>
              <w:pStyle w:val="null3"/>
            </w:pPr>
            <w:r>
              <w:rPr>
                <w:rFonts w:ascii="仿宋_GB2312" w:hAnsi="仿宋_GB2312" w:cs="仿宋_GB2312" w:eastAsia="仿宋_GB2312"/>
              </w:rPr>
              <w:t>投标人具有有效期内的相关体系认证： 1）质量管理体系认证证书； 2）职业健康安全管理体系认证证书； 3）环境管理体系认证证书； 每提供一项得1分，最高得3分。提供国家市场监督管理总局（https://www.cnca.gov.cn/）公司体系认证的查询截图。</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价格分统一采用低价优先法计算，即满足磋商文件要求且投标价格最低的响应报价为评审基准价，其价格分为满分。 其他供应商的价格分统一按照下列公式计算：响应报价得分=(评审基准价／响应报价)×10，计算分数时四舍五入取小数点后两位。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详见附件：类似业绩一览表.docx</w:t>
      </w:r>
    </w:p>
    <w:p>
      <w:pPr>
        <w:pStyle w:val="null3"/>
        <w:ind w:firstLine="960"/>
      </w:pPr>
      <w:r>
        <w:rPr>
          <w:rFonts w:ascii="仿宋_GB2312" w:hAnsi="仿宋_GB2312" w:cs="仿宋_GB2312" w:eastAsia="仿宋_GB2312"/>
        </w:rPr>
        <w:t>详见附件：投标人认为有必要补充说明的事项.docx</w:t>
      </w:r>
    </w:p>
    <w:p>
      <w:pPr>
        <w:pStyle w:val="null3"/>
        <w:ind w:firstLine="960"/>
      </w:pPr>
      <w:r>
        <w:rPr>
          <w:rFonts w:ascii="仿宋_GB2312" w:hAnsi="仿宋_GB2312" w:cs="仿宋_GB2312" w:eastAsia="仿宋_GB2312"/>
        </w:rPr>
        <w:t>详见附件：项目团队组织机构.docx</w:t>
      </w:r>
    </w:p>
    <w:p>
      <w:pPr>
        <w:pStyle w:val="null3"/>
        <w:ind w:firstLine="960"/>
      </w:pPr>
      <w:r>
        <w:rPr>
          <w:rFonts w:ascii="仿宋_GB2312" w:hAnsi="仿宋_GB2312" w:cs="仿宋_GB2312" w:eastAsia="仿宋_GB2312"/>
        </w:rPr>
        <w:t>详见附件：主要人员简历表.docx</w:t>
      </w:r>
    </w:p>
    <w:p>
      <w:pPr>
        <w:pStyle w:val="null3"/>
        <w:ind w:firstLine="960"/>
      </w:pPr>
      <w:r>
        <w:rPr>
          <w:rFonts w:ascii="仿宋_GB2312" w:hAnsi="仿宋_GB2312" w:cs="仿宋_GB2312" w:eastAsia="仿宋_GB2312"/>
        </w:rPr>
        <w:t>详见附件：供应商应提供的资格证明文件--.docx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详见附件：检测合同-.docx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