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C18BE">
      <w:pPr>
        <w:spacing w:before="91" w:line="360" w:lineRule="auto"/>
        <w:ind w:left="0" w:leftChars="0"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拟签订采购合同文本</w:t>
      </w:r>
    </w:p>
    <w:p w14:paraId="2FDDA59D">
      <w:pPr>
        <w:spacing w:before="91" w:line="360" w:lineRule="auto"/>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第一部分</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协议书</w:t>
      </w:r>
    </w:p>
    <w:p w14:paraId="469DCDA7">
      <w:pPr>
        <w:spacing w:before="91"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sz w:val="24"/>
          <w:szCs w:val="24"/>
        </w:rPr>
        <w:t>采购人</w:t>
      </w:r>
      <w:r>
        <w:rPr>
          <w:rFonts w:hint="eastAsia" w:ascii="宋体" w:hAnsi="宋体" w:eastAsia="宋体" w:cs="宋体"/>
          <w:sz w:val="24"/>
          <w:szCs w:val="24"/>
        </w:rPr>
        <w:fldChar w:fldCharType="end"/>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78AB0014">
      <w:pPr>
        <w:keepNext w:val="0"/>
        <w:keepLines w:val="0"/>
        <w:pageBreakBefore w:val="0"/>
        <w:kinsoku/>
        <w:wordWrap/>
        <w:overflowPunct/>
        <w:topLinePunct w:val="0"/>
        <w:autoSpaceDE/>
        <w:autoSpaceDN/>
        <w:bidi w:val="0"/>
        <w:adjustRightInd/>
        <w:spacing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sz w:val="24"/>
          <w:szCs w:val="24"/>
        </w:rPr>
        <w:t>乙方</w:t>
      </w:r>
      <w:r>
        <w:rPr>
          <w:rFonts w:hint="eastAsia" w:ascii="宋体" w:hAnsi="宋体" w:eastAsia="宋体" w:cs="宋体"/>
          <w:sz w:val="24"/>
          <w:szCs w:val="24"/>
        </w:rPr>
        <w:fldChar w:fldCharType="end"/>
      </w: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p>
    <w:p w14:paraId="14E7AF5B">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甲乙双方根据采购招标项目采购结果及相关磋商文件及响应文件的要求，</w:t>
      </w:r>
      <w:r>
        <w:rPr>
          <w:rFonts w:hint="eastAsia" w:ascii="宋体" w:hAnsi="宋体" w:eastAsia="宋体" w:cs="宋体"/>
          <w:kern w:val="0"/>
          <w:sz w:val="24"/>
          <w:szCs w:val="24"/>
          <w:lang w:eastAsia="zh-CN"/>
        </w:rPr>
        <w:t>遵循</w:t>
      </w:r>
      <w:r>
        <w:rPr>
          <w:rFonts w:hint="eastAsia" w:ascii="宋体" w:hAnsi="宋体" w:eastAsia="宋体" w:cs="宋体"/>
          <w:kern w:val="0"/>
          <w:sz w:val="24"/>
          <w:szCs w:val="24"/>
        </w:rPr>
        <w:t>平等、诚信、协作的原则，按照《中华人民共和国政府采购法》和《中华人民共和国民法典》经</w:t>
      </w:r>
      <w:r>
        <w:rPr>
          <w:rFonts w:hint="eastAsia" w:ascii="宋体" w:hAnsi="宋体" w:eastAsia="宋体" w:cs="宋体"/>
          <w:kern w:val="0"/>
          <w:sz w:val="24"/>
          <w:szCs w:val="24"/>
          <w:lang w:eastAsia="zh-CN"/>
        </w:rPr>
        <w:t>双方友好</w:t>
      </w:r>
      <w:r>
        <w:rPr>
          <w:rFonts w:hint="eastAsia" w:ascii="宋体" w:hAnsi="宋体" w:eastAsia="宋体" w:cs="宋体"/>
          <w:kern w:val="0"/>
          <w:sz w:val="24"/>
          <w:szCs w:val="24"/>
        </w:rPr>
        <w:t>协商，订立本合同，供双方共同遵守：</w:t>
      </w:r>
    </w:p>
    <w:p w14:paraId="1CCCFC3D">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第一条  合同约定的服务范围及内容</w:t>
      </w:r>
    </w:p>
    <w:p w14:paraId="77344D04">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color w:val="4F81BD"/>
          <w:kern w:val="0"/>
          <w:sz w:val="24"/>
          <w:szCs w:val="24"/>
          <w:lang w:eastAsia="zh-CN"/>
        </w:rPr>
      </w:pPr>
      <w:r>
        <w:rPr>
          <w:rFonts w:hint="eastAsia" w:ascii="宋体" w:hAnsi="宋体" w:eastAsia="宋体" w:cs="宋体"/>
          <w:kern w:val="0"/>
          <w:sz w:val="24"/>
          <w:szCs w:val="24"/>
        </w:rPr>
        <w:t>1、服务内容：</w:t>
      </w:r>
      <w:r>
        <w:rPr>
          <w:rFonts w:hint="eastAsia" w:ascii="宋体" w:hAnsi="宋体" w:eastAsia="宋体" w:cs="宋体"/>
          <w:kern w:val="0"/>
          <w:sz w:val="24"/>
          <w:szCs w:val="24"/>
          <w:lang w:eastAsia="zh-CN"/>
        </w:rPr>
        <w:t>完成</w:t>
      </w:r>
      <w:r>
        <w:rPr>
          <w:rFonts w:hint="eastAsia" w:ascii="宋体" w:hAnsi="宋体" w:eastAsia="宋体" w:cs="宋体"/>
          <w:kern w:val="0"/>
          <w:sz w:val="24"/>
          <w:szCs w:val="24"/>
          <w:lang w:val="en-US" w:eastAsia="zh-CN"/>
        </w:rPr>
        <w:t>2021年至2024年约150万页审计项目</w:t>
      </w:r>
      <w:r>
        <w:rPr>
          <w:rFonts w:hint="eastAsia" w:ascii="宋体" w:hAnsi="宋体" w:eastAsia="宋体" w:cs="宋体"/>
          <w:kern w:val="0"/>
          <w:sz w:val="24"/>
          <w:szCs w:val="24"/>
          <w:lang w:eastAsia="zh-CN"/>
        </w:rPr>
        <w:t>纸质档案的扫描，约</w:t>
      </w:r>
      <w:r>
        <w:rPr>
          <w:rFonts w:hint="eastAsia" w:ascii="宋体" w:hAnsi="宋体" w:eastAsia="宋体" w:cs="宋体"/>
          <w:kern w:val="0"/>
          <w:sz w:val="24"/>
          <w:szCs w:val="24"/>
          <w:lang w:val="en-US" w:eastAsia="zh-CN"/>
        </w:rPr>
        <w:t>3万条档案条目著录，</w:t>
      </w:r>
      <w:r>
        <w:rPr>
          <w:rFonts w:hint="eastAsia" w:ascii="宋体" w:hAnsi="宋体" w:eastAsia="宋体" w:cs="宋体"/>
          <w:kern w:val="0"/>
          <w:sz w:val="24"/>
          <w:szCs w:val="24"/>
        </w:rPr>
        <w:t>全宗卷编制</w:t>
      </w:r>
      <w:r>
        <w:rPr>
          <w:rFonts w:hint="eastAsia" w:ascii="宋体" w:hAnsi="宋体" w:eastAsia="宋体" w:cs="宋体"/>
          <w:kern w:val="0"/>
          <w:sz w:val="24"/>
          <w:szCs w:val="24"/>
          <w:lang w:eastAsia="zh-CN"/>
        </w:rPr>
        <w:t>，档案管理设备扩容升级与数据安全备份，通过省档案馆验收并按要求</w:t>
      </w:r>
      <w:r>
        <w:rPr>
          <w:rFonts w:hint="eastAsia" w:ascii="宋体" w:hAnsi="宋体" w:eastAsia="宋体" w:cs="宋体"/>
          <w:kern w:val="0"/>
          <w:sz w:val="24"/>
          <w:szCs w:val="24"/>
        </w:rPr>
        <w:t>移交</w:t>
      </w:r>
      <w:r>
        <w:rPr>
          <w:rFonts w:hint="eastAsia" w:ascii="宋体" w:hAnsi="宋体" w:eastAsia="宋体" w:cs="宋体"/>
          <w:kern w:val="0"/>
          <w:sz w:val="24"/>
          <w:szCs w:val="24"/>
          <w:lang w:eastAsia="zh-CN"/>
        </w:rPr>
        <w:t>进馆。</w:t>
      </w:r>
    </w:p>
    <w:p w14:paraId="1AA063C4">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2、服务期限：</w:t>
      </w:r>
      <w:r>
        <w:rPr>
          <w:rFonts w:hint="eastAsia" w:ascii="宋体" w:hAnsi="宋体" w:eastAsia="宋体" w:cs="宋体"/>
          <w:kern w:val="0"/>
          <w:sz w:val="24"/>
          <w:szCs w:val="24"/>
          <w:lang w:val="en-US" w:eastAsia="zh-CN"/>
        </w:rPr>
        <w:t>合同签订后6个月内</w:t>
      </w:r>
      <w:r>
        <w:rPr>
          <w:rFonts w:hint="eastAsia" w:ascii="宋体" w:hAnsi="宋体" w:eastAsia="宋体" w:cs="宋体"/>
          <w:kern w:val="0"/>
          <w:sz w:val="24"/>
          <w:szCs w:val="24"/>
        </w:rPr>
        <w:t>完成全部工作。</w:t>
      </w:r>
    </w:p>
    <w:p w14:paraId="1EADB071">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sz w:val="24"/>
          <w:szCs w:val="24"/>
          <w:highlight w:val="yellow"/>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验收标准</w:t>
      </w:r>
      <w:r>
        <w:rPr>
          <w:rFonts w:hint="eastAsia" w:ascii="宋体" w:hAnsi="宋体" w:eastAsia="宋体" w:cs="宋体"/>
          <w:color w:val="auto"/>
          <w:kern w:val="0"/>
          <w:sz w:val="24"/>
          <w:szCs w:val="24"/>
          <w:highlight w:val="none"/>
        </w:rPr>
        <w:t>：</w:t>
      </w:r>
      <w:r>
        <w:rPr>
          <w:rFonts w:hint="eastAsia" w:ascii="宋体" w:hAnsi="宋体" w:eastAsia="宋体" w:cs="宋体"/>
          <w:kern w:val="0"/>
          <w:sz w:val="24"/>
          <w:szCs w:val="24"/>
          <w:lang w:val="en-US" w:eastAsia="zh-CN"/>
        </w:rPr>
        <w:t>本项目实施过程中，供应商须严格遵守国家及行业现行有效的技术标准规范，主要包括但不限于以下各项：《纸质档案数字化规范》（DA/T31-2017）、《档号编制规则》（DA/T13-2022）、《档案著录规则》（DA/T18-2022）、《全宗卷规范》（DA/T12-2012）、《档案服务外包工作规范》（DA/T68-2020）、《陕西省档案馆档案数字化操作工作规程》（2025年7月试行）。以上标准规范均应采用现行有效版本。</w:t>
      </w:r>
    </w:p>
    <w:p w14:paraId="78631CD6">
      <w:pPr>
        <w:keepNext w:val="0"/>
        <w:keepLines w:val="0"/>
        <w:pageBreakBefore w:val="0"/>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kern w:val="0"/>
          <w:sz w:val="24"/>
          <w:szCs w:val="24"/>
          <w:highlight w:val="none"/>
          <w:lang w:val="en-US" w:eastAsia="zh-Hans"/>
        </w:rPr>
      </w:pPr>
      <w:r>
        <w:rPr>
          <w:rFonts w:hint="eastAsia" w:ascii="宋体" w:hAnsi="宋体" w:eastAsia="宋体" w:cs="宋体"/>
          <w:sz w:val="24"/>
          <w:szCs w:val="24"/>
          <w:highlight w:val="none"/>
          <w:lang w:val="en-US" w:eastAsia="zh-CN"/>
        </w:rPr>
        <w:t>4、</w:t>
      </w:r>
      <w:r>
        <w:rPr>
          <w:rFonts w:hint="eastAsia" w:ascii="宋体" w:hAnsi="宋体" w:eastAsia="宋体" w:cs="宋体"/>
          <w:kern w:val="0"/>
          <w:sz w:val="24"/>
          <w:szCs w:val="24"/>
          <w:highlight w:val="none"/>
          <w:lang w:eastAsia="zh-CN"/>
        </w:rPr>
        <w:t>验收方法：</w:t>
      </w:r>
      <w:r>
        <w:rPr>
          <w:rFonts w:hint="eastAsia" w:ascii="宋体" w:hAnsi="宋体" w:eastAsia="宋体" w:cs="宋体"/>
          <w:kern w:val="0"/>
          <w:sz w:val="24"/>
          <w:szCs w:val="24"/>
          <w:highlight w:val="none"/>
          <w:lang w:val="en-US" w:eastAsia="zh-CN"/>
        </w:rPr>
        <w:t>数字化全部成果和纸质档案须通过省档案馆组织的专家验收，取得书面验收合格意见，并按要求完成全部移交进馆工作。验收合格的数字化成果完整数据，包括原始数据及相关说明性文件应全部移交我厅，并履行交接手续。</w:t>
      </w:r>
    </w:p>
    <w:p w14:paraId="0D64F228">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b/>
          <w:bCs/>
          <w:kern w:val="0"/>
          <w:sz w:val="24"/>
          <w:szCs w:val="24"/>
        </w:rPr>
        <w:t xml:space="preserve">第二条 </w:t>
      </w:r>
      <w:r>
        <w:rPr>
          <w:rFonts w:hint="eastAsia" w:ascii="宋体" w:hAnsi="宋体" w:eastAsia="宋体" w:cs="宋体"/>
          <w:b/>
          <w:bCs/>
          <w:sz w:val="24"/>
          <w:szCs w:val="24"/>
        </w:rPr>
        <w:t>合同价款及付款方式</w:t>
      </w:r>
    </w:p>
    <w:p w14:paraId="3F274968">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color w:val="auto"/>
          <w:kern w:val="0"/>
          <w:sz w:val="24"/>
          <w:szCs w:val="24"/>
        </w:rPr>
        <w:t>1、合同总价：人民币大写：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，小写</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元，不得超过</w:t>
      </w:r>
      <w:r>
        <w:rPr>
          <w:rFonts w:hint="eastAsia" w:ascii="宋体" w:hAnsi="宋体" w:eastAsia="宋体" w:cs="宋体"/>
          <w:color w:val="auto"/>
          <w:kern w:val="0"/>
          <w:sz w:val="24"/>
          <w:szCs w:val="24"/>
          <w:lang w:val="en-US" w:eastAsia="zh-CN"/>
        </w:rPr>
        <w:t>840000.00</w:t>
      </w:r>
      <w:r>
        <w:rPr>
          <w:rFonts w:hint="eastAsia" w:ascii="宋体" w:hAnsi="宋体" w:eastAsia="宋体" w:cs="宋体"/>
          <w:color w:val="auto"/>
          <w:kern w:val="0"/>
          <w:sz w:val="24"/>
          <w:szCs w:val="24"/>
        </w:rPr>
        <w:t>元。结算总金额以供应商响应文件最终填报的</w:t>
      </w:r>
      <w:r>
        <w:rPr>
          <w:rFonts w:hint="eastAsia" w:ascii="宋体" w:hAnsi="宋体" w:eastAsia="宋体" w:cs="宋体"/>
          <w:color w:val="auto"/>
          <w:kern w:val="0"/>
          <w:sz w:val="24"/>
          <w:szCs w:val="24"/>
          <w:lang w:val="zh-CN"/>
        </w:rPr>
        <w:t>档案扫描</w:t>
      </w:r>
      <w:r>
        <w:rPr>
          <w:rFonts w:hint="eastAsia" w:ascii="宋体" w:hAnsi="宋体" w:eastAsia="宋体" w:cs="宋体"/>
          <w:color w:val="auto"/>
          <w:kern w:val="0"/>
          <w:sz w:val="24"/>
          <w:szCs w:val="24"/>
        </w:rPr>
        <w:t>单价</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lang w:eastAsia="zh-CN"/>
        </w:rPr>
        <w:t>条</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eastAsia="zh-CN"/>
        </w:rPr>
        <w:t>页），</w:t>
      </w:r>
      <w:r>
        <w:rPr>
          <w:rFonts w:hint="eastAsia" w:ascii="宋体" w:hAnsi="宋体" w:eastAsia="宋体" w:cs="宋体"/>
          <w:color w:val="auto"/>
          <w:kern w:val="0"/>
          <w:sz w:val="24"/>
          <w:szCs w:val="24"/>
          <w:lang w:val="zh-CN" w:eastAsia="zh-CN"/>
        </w:rPr>
        <w:t>档案著录</w:t>
      </w:r>
      <w:r>
        <w:rPr>
          <w:rFonts w:hint="eastAsia" w:ascii="宋体" w:hAnsi="宋体" w:eastAsia="宋体" w:cs="宋体"/>
          <w:color w:val="auto"/>
          <w:kern w:val="0"/>
          <w:sz w:val="24"/>
          <w:szCs w:val="24"/>
        </w:rPr>
        <w:t>单价</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lang w:eastAsia="zh-CN"/>
        </w:rPr>
        <w:t>条</w:t>
      </w:r>
      <w:r>
        <w:rPr>
          <w:rFonts w:hint="eastAsia" w:ascii="宋体" w:hAnsi="宋体" w:eastAsia="宋体" w:cs="宋体"/>
          <w:color w:val="auto"/>
          <w:kern w:val="0"/>
          <w:sz w:val="24"/>
          <w:szCs w:val="24"/>
        </w:rPr>
        <w:t>乘以相应实际完成的</w:t>
      </w:r>
      <w:r>
        <w:rPr>
          <w:rFonts w:hint="eastAsia" w:ascii="宋体" w:hAnsi="宋体" w:eastAsia="宋体" w:cs="宋体"/>
          <w:color w:val="auto"/>
          <w:kern w:val="0"/>
          <w:sz w:val="24"/>
          <w:szCs w:val="24"/>
          <w:lang w:eastAsia="zh-CN"/>
        </w:rPr>
        <w:t>服务</w:t>
      </w:r>
      <w:r>
        <w:rPr>
          <w:rFonts w:hint="eastAsia" w:ascii="宋体" w:hAnsi="宋体" w:eastAsia="宋体" w:cs="宋体"/>
          <w:color w:val="auto"/>
          <w:kern w:val="0"/>
          <w:sz w:val="24"/>
          <w:szCs w:val="24"/>
        </w:rPr>
        <w:t>量</w:t>
      </w:r>
      <w:r>
        <w:rPr>
          <w:rFonts w:hint="eastAsia" w:ascii="宋体" w:hAnsi="宋体" w:eastAsia="宋体" w:cs="宋体"/>
          <w:color w:val="auto"/>
          <w:kern w:val="0"/>
          <w:sz w:val="24"/>
          <w:szCs w:val="24"/>
          <w:lang w:eastAsia="zh-CN"/>
        </w:rPr>
        <w:t>与</w:t>
      </w:r>
      <w:r>
        <w:rPr>
          <w:rFonts w:hint="eastAsia" w:ascii="宋体" w:hAnsi="宋体" w:eastAsia="宋体" w:cs="宋体"/>
          <w:color w:val="auto"/>
          <w:kern w:val="0"/>
          <w:sz w:val="24"/>
          <w:szCs w:val="24"/>
          <w:lang w:val="zh-CN" w:eastAsia="zh-CN"/>
        </w:rPr>
        <w:t>全宗卷编制及移交工作、档案管理设备扩容升级与数据安全备份价格总和</w:t>
      </w:r>
      <w:r>
        <w:rPr>
          <w:rFonts w:hint="eastAsia" w:ascii="宋体" w:hAnsi="宋体" w:eastAsia="宋体" w:cs="宋体"/>
          <w:kern w:val="0"/>
          <w:sz w:val="24"/>
          <w:szCs w:val="24"/>
        </w:rPr>
        <w:t>。</w:t>
      </w:r>
    </w:p>
    <w:p w14:paraId="290DFB50">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2、付款方式：</w:t>
      </w:r>
    </w:p>
    <w:p w14:paraId="17EC48AB">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highlight w:val="none"/>
          <w:lang w:val="en-US" w:eastAsia="zh-Hans"/>
        </w:rPr>
      </w:pPr>
      <w:r>
        <w:rPr>
          <w:rFonts w:hint="eastAsia" w:ascii="宋体" w:hAnsi="宋体" w:eastAsia="宋体" w:cs="宋体"/>
          <w:kern w:val="0"/>
          <w:sz w:val="24"/>
          <w:szCs w:val="24"/>
          <w:highlight w:val="none"/>
          <w:lang w:val="en-US" w:eastAsia="zh-Hans"/>
        </w:rPr>
        <w:t>付款条件说明：合同签订后，达到付款条件起30日内，支付合同总金额的40.00%；</w:t>
      </w:r>
    </w:p>
    <w:p w14:paraId="622F17C9">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highlight w:val="none"/>
          <w:lang w:val="en-US" w:eastAsia="zh-Hans"/>
        </w:rPr>
      </w:pPr>
      <w:r>
        <w:rPr>
          <w:rFonts w:hint="eastAsia" w:ascii="宋体" w:hAnsi="宋体" w:eastAsia="宋体" w:cs="宋体"/>
          <w:kern w:val="0"/>
          <w:sz w:val="24"/>
          <w:szCs w:val="24"/>
          <w:highlight w:val="none"/>
          <w:lang w:val="en-US" w:eastAsia="zh-Hans"/>
        </w:rPr>
        <w:t>付款条件说明：完成项目一半工作量并抽检合格，达到付款条件起30日内，支付合同总金额的30.00%；</w:t>
      </w:r>
    </w:p>
    <w:p w14:paraId="2499C7A4">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highlight w:val="none"/>
          <w:lang w:val="en-US" w:eastAsia="zh-Hans"/>
        </w:rPr>
      </w:pPr>
      <w:r>
        <w:rPr>
          <w:rFonts w:hint="eastAsia" w:ascii="宋体" w:hAnsi="宋体" w:eastAsia="宋体" w:cs="宋体"/>
          <w:kern w:val="0"/>
          <w:sz w:val="24"/>
          <w:szCs w:val="24"/>
          <w:highlight w:val="none"/>
          <w:lang w:val="en-US" w:eastAsia="zh-Hans"/>
        </w:rPr>
        <w:t>付款条件说明：项目全部完成，最终实际扫描页数、著录条目数确认并移交进档案馆后，达到付款条件起30日内，支付合同总金额的30.00%。</w:t>
      </w:r>
    </w:p>
    <w:p w14:paraId="35F64961">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第三条  甲乙双方的权利及义务</w:t>
      </w:r>
    </w:p>
    <w:p w14:paraId="081819C6">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（一）甲方的权利和义务</w:t>
      </w:r>
    </w:p>
    <w:p w14:paraId="73B5CE14">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1、按照项目要求，做好档案的借调、归还工作，提供非涉密档案给乙方，同步做好乙方提交工作成果的审验工作，分期验收应不影响乙方的下一批借档工作；如若由此造成工期的延期，由甲方负责。</w:t>
      </w:r>
    </w:p>
    <w:p w14:paraId="3393543E">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2、甲方有权在不影响乙方工作的前提下，对乙方的工作进行监督检查，乙方应给予一定便利，若在检查过程中发现乙方任何不当行为，甲方有权予以制止，并要求乙方限期内予以整改。</w:t>
      </w:r>
    </w:p>
    <w:p w14:paraId="360E18CE">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3、在合同履行过程中，甲方有权要求乙方更换相关工作人员，乙方在接到甲方通知后2日内予以更换。</w:t>
      </w:r>
    </w:p>
    <w:p w14:paraId="1BBF6095">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4、项目执行过程中甲方负责人负责协调项目实施过程中的问题，不限于项目安全保密、确定验收标准、提供非涉密档案、借档还档、场地协调等。</w:t>
      </w:r>
    </w:p>
    <w:p w14:paraId="2D3E6FCA">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5、档案数字化加工场</w:t>
      </w:r>
      <w:r>
        <w:rPr>
          <w:rFonts w:hint="eastAsia" w:ascii="宋体" w:hAnsi="宋体" w:eastAsia="宋体" w:cs="宋体"/>
          <w:kern w:val="0"/>
          <w:sz w:val="24"/>
          <w:szCs w:val="24"/>
          <w:lang w:eastAsia="zh-CN"/>
        </w:rPr>
        <w:t>所及相关水电由甲方提供，</w:t>
      </w:r>
      <w:r>
        <w:rPr>
          <w:rFonts w:hint="eastAsia" w:ascii="宋体" w:hAnsi="宋体" w:eastAsia="宋体" w:cs="宋体"/>
          <w:kern w:val="0"/>
          <w:sz w:val="24"/>
          <w:szCs w:val="24"/>
        </w:rPr>
        <w:t>符合防盗、防火、防尘、防水、防 潮、防高温、防日光及紫外线照射、防有害生物、防污染等安全管理要求</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场</w:t>
      </w:r>
      <w:r>
        <w:rPr>
          <w:rFonts w:hint="eastAsia" w:ascii="宋体" w:hAnsi="宋体" w:eastAsia="宋体" w:cs="宋体"/>
          <w:kern w:val="0"/>
          <w:sz w:val="24"/>
          <w:szCs w:val="24"/>
          <w:lang w:eastAsia="zh-CN"/>
        </w:rPr>
        <w:t>所内</w:t>
      </w:r>
      <w:r>
        <w:rPr>
          <w:rFonts w:hint="eastAsia" w:ascii="宋体" w:hAnsi="宋体" w:eastAsia="宋体" w:cs="宋体"/>
          <w:kern w:val="0"/>
          <w:sz w:val="24"/>
          <w:szCs w:val="24"/>
        </w:rPr>
        <w:t>应安装视频监控系统，</w:t>
      </w:r>
      <w:r>
        <w:rPr>
          <w:rFonts w:hint="eastAsia" w:ascii="宋体" w:hAnsi="宋体" w:eastAsia="宋体" w:cs="宋体"/>
          <w:kern w:val="0"/>
          <w:sz w:val="24"/>
          <w:szCs w:val="24"/>
          <w:lang w:eastAsia="zh-CN"/>
        </w:rPr>
        <w:t>全</w:t>
      </w:r>
      <w:r>
        <w:rPr>
          <w:rFonts w:hint="eastAsia" w:ascii="宋体" w:hAnsi="宋体" w:eastAsia="宋体" w:cs="宋体"/>
          <w:kern w:val="0"/>
          <w:sz w:val="24"/>
          <w:szCs w:val="24"/>
        </w:rPr>
        <w:t>覆盖档案数字化加工场所的出入口、档案存放区、信息存储区和工作区，</w:t>
      </w:r>
      <w:r>
        <w:rPr>
          <w:rFonts w:hint="eastAsia" w:ascii="宋体" w:hAnsi="宋体" w:eastAsia="宋体" w:cs="宋体"/>
          <w:kern w:val="0"/>
          <w:sz w:val="24"/>
          <w:szCs w:val="24"/>
          <w:lang w:eastAsia="zh-CN"/>
        </w:rPr>
        <w:t>无监控死角。</w:t>
      </w:r>
      <w:r>
        <w:rPr>
          <w:rFonts w:hint="eastAsia" w:ascii="宋体" w:hAnsi="宋体" w:eastAsia="宋体" w:cs="宋体"/>
          <w:kern w:val="0"/>
          <w:sz w:val="24"/>
          <w:szCs w:val="24"/>
        </w:rPr>
        <w:t>全方位监控数据自产生之日起保存不少于6个月（涉密项目视频监控需全程留存）。</w:t>
      </w:r>
    </w:p>
    <w:p w14:paraId="7DEACFAE">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、按照合同规定向乙方支付项目款。</w:t>
      </w:r>
    </w:p>
    <w:p w14:paraId="7052390D">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rPr>
        <w:t>、在项目实施过程中对数字化档案进行涉密性、完整有序性及档案实体与目录的一致性进行检查。</w:t>
      </w:r>
    </w:p>
    <w:p w14:paraId="715AAF1F">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、提供符合国家标准并满足工作需要的档案装具，用于分别存放待数字化处理和已数字化处理的档案。</w:t>
      </w:r>
    </w:p>
    <w:p w14:paraId="4F9FBBC0">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（二）乙方的权利和义务</w:t>
      </w:r>
    </w:p>
    <w:p w14:paraId="0C515F7E">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1、按照</w:t>
      </w:r>
      <w:r>
        <w:rPr>
          <w:rFonts w:hint="eastAsia" w:ascii="宋体" w:hAnsi="宋体" w:eastAsia="宋体" w:cs="宋体"/>
          <w:kern w:val="0"/>
          <w:sz w:val="24"/>
          <w:szCs w:val="24"/>
          <w:lang w:eastAsia="zh-CN"/>
        </w:rPr>
        <w:t>竞争性磋商文件</w:t>
      </w:r>
      <w:r>
        <w:rPr>
          <w:rFonts w:hint="eastAsia" w:ascii="宋体" w:hAnsi="宋体" w:eastAsia="宋体" w:cs="宋体"/>
          <w:kern w:val="0"/>
          <w:sz w:val="24"/>
          <w:szCs w:val="24"/>
        </w:rPr>
        <w:t>，配备组织充足的熟练的加工人员进行项目实施，保证质量和在规定工期内完成，及时更换甲方提出认为不适宜的工作人员。</w:t>
      </w:r>
    </w:p>
    <w:p w14:paraId="633B1DF7">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2、按照</w:t>
      </w:r>
      <w:r>
        <w:rPr>
          <w:rFonts w:hint="eastAsia" w:ascii="宋体" w:hAnsi="宋体" w:eastAsia="宋体" w:cs="宋体"/>
          <w:kern w:val="0"/>
          <w:sz w:val="24"/>
          <w:szCs w:val="24"/>
          <w:lang w:eastAsia="zh-CN"/>
        </w:rPr>
        <w:t>竞争性磋商文件</w:t>
      </w:r>
      <w:r>
        <w:rPr>
          <w:rFonts w:hint="eastAsia" w:ascii="宋体" w:hAnsi="宋体" w:eastAsia="宋体" w:cs="宋体"/>
          <w:kern w:val="0"/>
          <w:sz w:val="24"/>
          <w:szCs w:val="24"/>
        </w:rPr>
        <w:t>，调配充足的电脑、扫描仪等设备进行项目实施，保证质量和在规定的工期内完成。</w:t>
      </w:r>
    </w:p>
    <w:p w14:paraId="379CD99A">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乙方与甲方协商制订可行的工作计划，包含完成本项目任务量的时间计划、每日工作进度表、每日工作监管考核措施，并进行实际工作部署，制定质量管理的方法及措施，以保证最佳的工作效果。乙方工作计划需经过甲方书面认可后方可实施，未经甲方书面认可乙方不得变更工作计划。</w:t>
      </w:r>
    </w:p>
    <w:p w14:paraId="6EC16FC5">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4、乙方按照</w:t>
      </w:r>
      <w:r>
        <w:rPr>
          <w:rFonts w:hint="eastAsia" w:ascii="宋体" w:hAnsi="宋体" w:eastAsia="宋体" w:cs="宋体"/>
          <w:kern w:val="0"/>
          <w:sz w:val="24"/>
          <w:szCs w:val="24"/>
          <w:lang w:eastAsia="zh-CN"/>
        </w:rPr>
        <w:t>竞争性磋商文件</w:t>
      </w:r>
      <w:r>
        <w:rPr>
          <w:rFonts w:hint="eastAsia" w:ascii="宋体" w:hAnsi="宋体" w:eastAsia="宋体" w:cs="宋体"/>
          <w:kern w:val="0"/>
          <w:sz w:val="24"/>
          <w:szCs w:val="24"/>
        </w:rPr>
        <w:t>的质量要求，对加工的所有数据进行质量检验，分期提交给甲方质量检验组进行审验，甲方反馈的不合格数据应及时修正，否则，由此造成工期的延期，由乙方负责。</w:t>
      </w:r>
    </w:p>
    <w:p w14:paraId="3A3747BC">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5、甲方提供的设备、物品在实施过程中如有损坏，乙方负责照价赔偿。</w:t>
      </w:r>
    </w:p>
    <w:p w14:paraId="416F1EB7">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6、严格遵守甲方相关的保密制度及甲方相关工作规章制度</w:t>
      </w:r>
      <w:r>
        <w:rPr>
          <w:rFonts w:hint="eastAsia" w:ascii="宋体" w:hAnsi="宋体" w:eastAsia="宋体" w:cs="宋体"/>
          <w:kern w:val="0"/>
          <w:sz w:val="24"/>
          <w:szCs w:val="24"/>
          <w:lang w:eastAsia="zh-CN"/>
        </w:rPr>
        <w:t>，乙方与聘用加工人员签订保密协议</w:t>
      </w:r>
      <w:r>
        <w:rPr>
          <w:rFonts w:hint="eastAsia" w:ascii="宋体" w:hAnsi="宋体" w:eastAsia="宋体" w:cs="宋体"/>
          <w:kern w:val="0"/>
          <w:sz w:val="24"/>
          <w:szCs w:val="24"/>
        </w:rPr>
        <w:t>。</w:t>
      </w:r>
    </w:p>
    <w:p w14:paraId="5872D0D4">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项目日常管理员随时检查施工现场安全、保密设施，发现问题立即报告及时解决。工作人员严禁在实施现场内吸烟，离开实施现场时，必须锁好门窗，切断电源，切实消除失窃、火灾等安全隐患，做好平时防范工作，保证档案安全。</w:t>
      </w:r>
    </w:p>
    <w:p w14:paraId="6882844B">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8、加强安全检查，节假日前按规定将档案归还入库，并进行安全、保密检查，及时排除不安全因素。</w:t>
      </w:r>
    </w:p>
    <w:p w14:paraId="17C90E72">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9、施工现场内禁止存放易燃、易爆、杂物、食品等危险物品，保持施工场地清洁和卫生，切实做好借用档案的防盗、防损等安全工作。</w:t>
      </w:r>
    </w:p>
    <w:p w14:paraId="31846038">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10、非经允许，非工作人员不得进入施工现场。</w:t>
      </w:r>
    </w:p>
    <w:p w14:paraId="1D7B28A9">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11、严格遵守保密制度，未经批准，任何人不准将档案原件、扫描后的电子档案带出施工现场，更不准私自摘抄、外传。</w:t>
      </w:r>
    </w:p>
    <w:p w14:paraId="6EB2564B">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12、未经甲方授权，乙方不得以本项目中的扫描、著录成果进行自身商业宣传。</w:t>
      </w:r>
    </w:p>
    <w:p w14:paraId="3CD133AD">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13、本项目不得分包、转包。</w:t>
      </w:r>
    </w:p>
    <w:p w14:paraId="1959A585">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color w:val="0000FF"/>
          <w:kern w:val="0"/>
          <w:sz w:val="24"/>
          <w:szCs w:val="24"/>
        </w:rPr>
      </w:pPr>
      <w:r>
        <w:rPr>
          <w:rFonts w:hint="eastAsia" w:ascii="宋体" w:hAnsi="宋体" w:eastAsia="宋体" w:cs="宋体"/>
          <w:kern w:val="0"/>
          <w:sz w:val="24"/>
          <w:szCs w:val="24"/>
        </w:rPr>
        <w:t>14、</w:t>
      </w:r>
      <w:r>
        <w:rPr>
          <w:rFonts w:hint="eastAsia" w:ascii="宋体" w:hAnsi="宋体" w:eastAsia="宋体" w:cs="宋体"/>
          <w:kern w:val="0"/>
          <w:sz w:val="24"/>
          <w:szCs w:val="24"/>
          <w:lang w:eastAsia="zh-CN"/>
        </w:rPr>
        <w:t>全部返还项目用计算机内硬盘并</w:t>
      </w:r>
      <w:r>
        <w:rPr>
          <w:rFonts w:hint="eastAsia" w:ascii="宋体" w:hAnsi="宋体" w:eastAsia="宋体" w:cs="宋体"/>
          <w:kern w:val="0"/>
          <w:sz w:val="24"/>
          <w:szCs w:val="24"/>
        </w:rPr>
        <w:t>无偿移交</w:t>
      </w:r>
      <w:r>
        <w:rPr>
          <w:rFonts w:hint="eastAsia" w:ascii="宋体" w:hAnsi="宋体" w:eastAsia="宋体" w:cs="宋体"/>
          <w:kern w:val="0"/>
          <w:sz w:val="24"/>
          <w:szCs w:val="24"/>
          <w:lang w:eastAsia="zh-CN"/>
        </w:rPr>
        <w:t>数字化</w:t>
      </w:r>
      <w:r>
        <w:rPr>
          <w:rFonts w:hint="eastAsia" w:ascii="宋体" w:hAnsi="宋体" w:eastAsia="宋体" w:cs="宋体"/>
          <w:kern w:val="0"/>
          <w:sz w:val="24"/>
          <w:szCs w:val="24"/>
        </w:rPr>
        <w:t>加工</w:t>
      </w:r>
      <w:r>
        <w:rPr>
          <w:rFonts w:hint="eastAsia" w:ascii="宋体" w:hAnsi="宋体" w:eastAsia="宋体" w:cs="宋体"/>
          <w:kern w:val="0"/>
          <w:sz w:val="24"/>
          <w:szCs w:val="24"/>
          <w:lang w:eastAsia="zh-CN"/>
        </w:rPr>
        <w:t>及数码照片、数码音视频档案整理加工</w:t>
      </w:r>
      <w:r>
        <w:rPr>
          <w:rFonts w:hint="eastAsia" w:ascii="宋体" w:hAnsi="宋体" w:eastAsia="宋体" w:cs="宋体"/>
          <w:kern w:val="0"/>
          <w:sz w:val="24"/>
          <w:szCs w:val="24"/>
        </w:rPr>
        <w:t>成果数据刻盘移交所用的移动硬盘和</w:t>
      </w:r>
      <w:r>
        <w:rPr>
          <w:rFonts w:hint="eastAsia" w:ascii="宋体" w:hAnsi="宋体" w:eastAsia="宋体" w:cs="宋体"/>
          <w:color w:val="auto"/>
          <w:kern w:val="0"/>
          <w:sz w:val="24"/>
          <w:szCs w:val="24"/>
        </w:rPr>
        <w:t>档案级蓝光光盘。</w:t>
      </w:r>
    </w:p>
    <w:p w14:paraId="4E06E689">
      <w:pPr>
        <w:keepNext w:val="0"/>
        <w:keepLines w:val="0"/>
        <w:pageBreakBefore w:val="0"/>
        <w:widowControl w:val="0"/>
        <w:tabs>
          <w:tab w:val="left" w:pos="1999"/>
        </w:tabs>
        <w:kinsoku/>
        <w:wordWrap/>
        <w:overflowPunct/>
        <w:topLinePunct w:val="0"/>
        <w:autoSpaceDE/>
        <w:autoSpaceDN/>
        <w:bidi w:val="0"/>
        <w:adjustRightInd/>
        <w:spacing w:before="0" w:line="360" w:lineRule="auto"/>
        <w:ind w:right="0" w:rightChars="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b/>
          <w:bCs/>
          <w:kern w:val="0"/>
          <w:sz w:val="24"/>
          <w:szCs w:val="24"/>
          <w:lang w:val="en-US" w:eastAsia="zh-CN" w:bidi="ar-SA"/>
        </w:rPr>
        <w:t xml:space="preserve">第四条  </w:t>
      </w:r>
      <w:r>
        <w:rPr>
          <w:rFonts w:hint="eastAsia" w:ascii="宋体" w:hAnsi="宋体" w:eastAsia="宋体" w:cs="宋体"/>
          <w:b/>
          <w:bCs/>
          <w:kern w:val="2"/>
          <w:sz w:val="24"/>
          <w:szCs w:val="24"/>
          <w:lang w:val="en-US" w:eastAsia="zh-CN" w:bidi="ar-SA"/>
        </w:rPr>
        <w:t>违约责任</w:t>
      </w:r>
    </w:p>
    <w:p w14:paraId="19B3D440">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（一）按《中华人民共和国民法典》中的相关条款执行。</w:t>
      </w:r>
    </w:p>
    <w:p w14:paraId="2223D2FA">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二）若乙方未能在合同约定时间内完工，每逾期一天应承担合同总价3%的违约金。若超过15日仍未完工甲方有权解除本合同，乙方应向甲方支付合同总价30%的违约金，若违约金数额不足以弥补由此给甲方造成的损失，乙方需补足。</w:t>
      </w:r>
    </w:p>
    <w:p w14:paraId="4992055E">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（三）按合同要求提供服务或服务质量不能满足</w:t>
      </w:r>
      <w:r>
        <w:rPr>
          <w:rFonts w:hint="eastAsia" w:ascii="宋体" w:hAnsi="宋体" w:eastAsia="宋体" w:cs="宋体"/>
          <w:kern w:val="0"/>
          <w:sz w:val="24"/>
          <w:szCs w:val="24"/>
          <w:lang w:eastAsia="zh-CN"/>
        </w:rPr>
        <w:t>磋商</w:t>
      </w:r>
      <w:r>
        <w:rPr>
          <w:rFonts w:hint="eastAsia" w:ascii="宋体" w:hAnsi="宋体" w:eastAsia="宋体" w:cs="宋体"/>
          <w:kern w:val="0"/>
          <w:sz w:val="24"/>
          <w:szCs w:val="24"/>
        </w:rPr>
        <w:t>技术要求，乙方必须无条件更换产品或设备，提高技术，完善服务质量，否则，甲方会同鉴证方有权终止合同，并对乙方的违约行为进行追究，同时按《政府采购法》等进行相应的处罚。</w:t>
      </w:r>
    </w:p>
    <w:p w14:paraId="6808F807">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（四）如乙方在工作中违反本合同的约定，造成甲方档案信息泄密，档案丢失、毁损，甲方会同鉴证方有权终止合同，并要求乙方承担合同总价20%的违约金及由此产生的一切后果。</w:t>
      </w:r>
    </w:p>
    <w:p w14:paraId="5D788EB5">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（五）因乙方违约的，甲方有权从应付款项中扣除其应当承担的违约金。</w:t>
      </w:r>
    </w:p>
    <w:p w14:paraId="1A463E9B">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第五条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b/>
          <w:bCs/>
          <w:kern w:val="0"/>
          <w:sz w:val="24"/>
          <w:szCs w:val="24"/>
        </w:rPr>
        <w:t>不可抗力</w:t>
      </w:r>
      <w:r>
        <w:rPr>
          <w:rFonts w:hint="eastAsia" w:ascii="宋体" w:hAnsi="宋体" w:eastAsia="宋体" w:cs="宋体"/>
          <w:b/>
          <w:bCs/>
          <w:kern w:val="0"/>
          <w:sz w:val="24"/>
          <w:szCs w:val="24"/>
        </w:rPr>
        <w:fldChar w:fldCharType="end"/>
      </w:r>
    </w:p>
    <w:p w14:paraId="65019E52">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甲乙双方任何一方由于</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kern w:val="0"/>
          <w:sz w:val="24"/>
          <w:szCs w:val="24"/>
        </w:rPr>
        <w:t>不可抗力</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原因不能履行合同时，应及时向对</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kern w:val="0"/>
          <w:sz w:val="24"/>
          <w:szCs w:val="24"/>
        </w:rPr>
        <w:t>方通</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kern w:val="0"/>
          <w:sz w:val="24"/>
          <w:szCs w:val="24"/>
        </w:rPr>
        <w:t>违约责任</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w:t>
      </w:r>
    </w:p>
    <w:p w14:paraId="51118633">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0"/>
          <w:sz w:val="24"/>
          <w:szCs w:val="24"/>
          <w:lang w:val="en-US" w:eastAsia="zh-CN" w:bidi="ar-SA"/>
        </w:rPr>
        <w:t xml:space="preserve">第六条  </w:t>
      </w:r>
      <w:r>
        <w:rPr>
          <w:rFonts w:hint="eastAsia" w:ascii="宋体" w:hAnsi="宋体" w:eastAsia="宋体" w:cs="宋体"/>
          <w:b/>
          <w:bCs/>
          <w:kern w:val="2"/>
          <w:sz w:val="24"/>
          <w:szCs w:val="24"/>
          <w:lang w:val="en-US" w:eastAsia="zh-CN" w:bidi="ar-SA"/>
        </w:rPr>
        <w:t>争议解决</w:t>
      </w:r>
    </w:p>
    <w:p w14:paraId="7D847CFD">
      <w:pPr>
        <w:keepNext w:val="0"/>
        <w:keepLines w:val="0"/>
        <w:pageBreakBefore w:val="0"/>
        <w:kinsoku/>
        <w:wordWrap/>
        <w:overflowPunct/>
        <w:topLinePunct w:val="0"/>
        <w:autoSpaceDE/>
        <w:autoSpaceDN/>
        <w:bidi w:val="0"/>
        <w:adjustRightInd/>
        <w:snapToGrid w:val="0"/>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双方因履行本合同而发生的争议，由双方友好协商、调解解决或根据《中华人民共和国民法典》有关规定进行解决。协商、调解不成的，确定按第</w:t>
      </w:r>
      <w:r>
        <w:rPr>
          <w:rFonts w:hint="eastAsia" w:ascii="宋体" w:hAnsi="宋体" w:eastAsia="宋体" w:cs="宋体"/>
          <w:sz w:val="24"/>
          <w:szCs w:val="24"/>
          <w:lang w:val="en-US" w:eastAsia="zh-CN"/>
        </w:rPr>
        <w:t>2</w:t>
      </w:r>
      <w:r>
        <w:rPr>
          <w:rFonts w:hint="eastAsia" w:ascii="宋体" w:hAnsi="宋体" w:eastAsia="宋体" w:cs="宋体"/>
          <w:sz w:val="24"/>
          <w:szCs w:val="24"/>
        </w:rPr>
        <w:t>种方式处理：</w:t>
      </w:r>
    </w:p>
    <w:p w14:paraId="392E2757">
      <w:pPr>
        <w:keepNext w:val="0"/>
        <w:keepLines w:val="0"/>
        <w:pageBreakBefore w:val="0"/>
        <w:kinsoku/>
        <w:wordWrap/>
        <w:overflowPunct/>
        <w:topLinePunct w:val="0"/>
        <w:autoSpaceDE/>
        <w:autoSpaceDN/>
        <w:bidi w:val="0"/>
        <w:adjustRightInd/>
        <w:snapToGrid w:val="0"/>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1、提交西安仲裁委员会仲裁；</w:t>
      </w:r>
    </w:p>
    <w:p w14:paraId="10A46889">
      <w:pPr>
        <w:keepNext w:val="0"/>
        <w:keepLines w:val="0"/>
        <w:pageBreakBefore w:val="0"/>
        <w:kinsoku/>
        <w:wordWrap/>
        <w:overflowPunct/>
        <w:topLinePunct w:val="0"/>
        <w:autoSpaceDE/>
        <w:autoSpaceDN/>
        <w:bidi w:val="0"/>
        <w:adjustRightInd/>
        <w:snapToGrid w:val="0"/>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2、依法向甲方住所地有管辖权的人民法院起诉。</w:t>
      </w:r>
    </w:p>
    <w:p w14:paraId="0086F606">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第七条  监督和管理</w:t>
      </w:r>
    </w:p>
    <w:p w14:paraId="2135B454">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0E0B9C0">
      <w:pPr>
        <w:keepNext w:val="0"/>
        <w:keepLines w:val="0"/>
        <w:pageBreakBefore w:val="0"/>
        <w:widowControl/>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2、甲乙双方均应自觉配合有关监督管理部门对合同履行情况的监督检查，如实反映情况，提供有关资料；否则，将对有关单位、当事人按照有关规定予以处罚。</w:t>
      </w:r>
    </w:p>
    <w:p w14:paraId="5FB7853E">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第八条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4"/>
          <w:szCs w:val="24"/>
        </w:rPr>
        <w:fldChar w:fldCharType="separate"/>
      </w:r>
      <w:r>
        <w:rPr>
          <w:rFonts w:hint="eastAsia" w:ascii="宋体" w:hAnsi="宋体" w:eastAsia="宋体" w:cs="宋体"/>
          <w:b/>
          <w:bCs/>
          <w:kern w:val="0"/>
          <w:sz w:val="24"/>
          <w:szCs w:val="24"/>
        </w:rPr>
        <w:t>无效合同</w:t>
      </w:r>
      <w:r>
        <w:rPr>
          <w:rFonts w:hint="eastAsia" w:ascii="宋体" w:hAnsi="宋体" w:eastAsia="宋体" w:cs="宋体"/>
          <w:b/>
          <w:bCs/>
          <w:kern w:val="0"/>
          <w:sz w:val="24"/>
          <w:szCs w:val="24"/>
        </w:rPr>
        <w:fldChar w:fldCharType="end"/>
      </w:r>
    </w:p>
    <w:p w14:paraId="6095F33A">
      <w:pPr>
        <w:keepNext w:val="0"/>
        <w:keepLines w:val="0"/>
        <w:pageBreakBefore w:val="0"/>
        <w:widowControl w:val="0"/>
        <w:kinsoku/>
        <w:wordWrap/>
        <w:overflowPunct/>
        <w:topLinePunct w:val="0"/>
        <w:autoSpaceDE/>
        <w:autoSpaceDN/>
        <w:bidi w:val="0"/>
        <w:adjustRightInd/>
        <w:spacing w:before="0" w:line="360" w:lineRule="auto"/>
        <w:ind w:right="0" w:righ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0"/>
          <w:sz w:val="24"/>
          <w:szCs w:val="24"/>
          <w:lang w:val="en-US" w:eastAsia="zh-CN" w:bidi="ar-SA"/>
        </w:rPr>
        <w:t>甲乙双方如因违反政府采购法及相关法律法规的规定，被宣告</w:t>
      </w:r>
      <w:r>
        <w:rPr>
          <w:rFonts w:hint="eastAsia" w:ascii="宋体" w:hAnsi="宋体" w:eastAsia="宋体" w:cs="宋体"/>
          <w:kern w:val="2"/>
          <w:sz w:val="24"/>
          <w:szCs w:val="24"/>
          <w:lang w:val="en-US" w:eastAsia="zh-CN" w:bidi="ar-SA"/>
        </w:rPr>
        <w:fldChar w:fldCharType="begin"/>
      </w:r>
      <w:r>
        <w:rPr>
          <w:rFonts w:hint="eastAsia" w:ascii="宋体" w:hAnsi="宋体" w:eastAsia="宋体" w:cs="宋体"/>
          <w:kern w:val="2"/>
          <w:sz w:val="24"/>
          <w:szCs w:val="24"/>
          <w:lang w:val="en-US" w:eastAsia="zh-CN" w:bidi="ar-SA"/>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kern w:val="2"/>
          <w:sz w:val="24"/>
          <w:szCs w:val="24"/>
          <w:lang w:val="en-US" w:eastAsia="zh-CN" w:bidi="ar-SA"/>
        </w:rPr>
        <w:fldChar w:fldCharType="separate"/>
      </w:r>
      <w:r>
        <w:rPr>
          <w:rFonts w:hint="eastAsia" w:ascii="宋体" w:hAnsi="宋体" w:eastAsia="宋体" w:cs="宋体"/>
          <w:kern w:val="0"/>
          <w:sz w:val="24"/>
          <w:szCs w:val="24"/>
          <w:lang w:val="en-US" w:eastAsia="zh-CN" w:bidi="ar-SA"/>
        </w:rPr>
        <w:t>合同无效</w:t>
      </w:r>
      <w:r>
        <w:rPr>
          <w:rFonts w:hint="eastAsia" w:ascii="宋体" w:hAnsi="宋体" w:eastAsia="宋体" w:cs="宋体"/>
          <w:kern w:val="0"/>
          <w:sz w:val="24"/>
          <w:szCs w:val="24"/>
          <w:lang w:val="en-US" w:eastAsia="zh-CN" w:bidi="ar-SA"/>
        </w:rPr>
        <w:fldChar w:fldCharType="end"/>
      </w:r>
      <w:r>
        <w:rPr>
          <w:rFonts w:hint="eastAsia" w:ascii="宋体" w:hAnsi="宋体" w:eastAsia="宋体" w:cs="宋体"/>
          <w:kern w:val="0"/>
          <w:sz w:val="24"/>
          <w:szCs w:val="24"/>
          <w:lang w:val="en-US" w:eastAsia="zh-CN" w:bidi="ar-SA"/>
        </w:rPr>
        <w:t>的，一切责任概由过错方自行承担。</w:t>
      </w:r>
    </w:p>
    <w:p w14:paraId="1E0B461C">
      <w:pPr>
        <w:keepNext w:val="0"/>
        <w:keepLines w:val="0"/>
        <w:pageBreakBefore w:val="0"/>
        <w:kinsoku/>
        <w:wordWrap/>
        <w:overflowPunct/>
        <w:topLinePunct w:val="0"/>
        <w:autoSpaceDE/>
        <w:autoSpaceDN/>
        <w:bidi w:val="0"/>
        <w:adjustRightInd/>
        <w:snapToGrid w:val="0"/>
        <w:spacing w:line="360" w:lineRule="auto"/>
        <w:ind w:left="0" w:leftChars="0" w:right="0" w:rightChars="0" w:firstLine="0" w:firstLineChars="0"/>
        <w:textAlignment w:val="auto"/>
        <w:rPr>
          <w:rFonts w:hint="eastAsia" w:ascii="宋体" w:hAnsi="宋体" w:eastAsia="宋体" w:cs="宋体"/>
          <w:sz w:val="24"/>
          <w:szCs w:val="24"/>
        </w:rPr>
      </w:pPr>
      <w:r>
        <w:rPr>
          <w:rFonts w:hint="eastAsia" w:ascii="宋体" w:hAnsi="宋体" w:eastAsia="宋体" w:cs="宋体"/>
          <w:b/>
          <w:bCs/>
          <w:kern w:val="0"/>
          <w:sz w:val="24"/>
          <w:szCs w:val="24"/>
        </w:rPr>
        <w:t xml:space="preserve">第九条  </w:t>
      </w:r>
      <w:r>
        <w:rPr>
          <w:rFonts w:hint="eastAsia" w:ascii="宋体" w:hAnsi="宋体" w:eastAsia="宋体" w:cs="宋体"/>
          <w:b/>
          <w:bCs/>
          <w:sz w:val="24"/>
          <w:szCs w:val="24"/>
        </w:rPr>
        <w:t>合同生效及其他</w:t>
      </w:r>
    </w:p>
    <w:p w14:paraId="1A94E56D">
      <w:pPr>
        <w:keepNext w:val="0"/>
        <w:keepLines w:val="0"/>
        <w:pageBreakBefore w:val="0"/>
        <w:kinsoku/>
        <w:wordWrap/>
        <w:overflowPunct/>
        <w:topLinePunct w:val="0"/>
        <w:autoSpaceDE/>
        <w:autoSpaceDN/>
        <w:bidi w:val="0"/>
        <w:adjustRightInd/>
        <w:snapToGrid w:val="0"/>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1、本合同自双方法定代表人或授权委托代理人签字并加盖单位公章后生效。</w:t>
      </w:r>
    </w:p>
    <w:p w14:paraId="07C40EFE">
      <w:pPr>
        <w:keepNext w:val="0"/>
        <w:keepLines w:val="0"/>
        <w:pageBreakBefore w:val="0"/>
        <w:kinsoku/>
        <w:wordWrap/>
        <w:overflowPunct/>
        <w:topLinePunct w:val="0"/>
        <w:autoSpaceDE/>
        <w:autoSpaceDN/>
        <w:bidi w:val="0"/>
        <w:adjustRightInd/>
        <w:snapToGrid w:val="0"/>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2、本合同一式柒份,甲</w:t>
      </w:r>
      <w:r>
        <w:rPr>
          <w:rFonts w:hint="eastAsia" w:ascii="宋体" w:hAnsi="宋体" w:eastAsia="宋体" w:cs="宋体"/>
          <w:sz w:val="24"/>
          <w:szCs w:val="24"/>
          <w:lang w:eastAsia="zh-CN"/>
        </w:rPr>
        <w:t>方</w:t>
      </w:r>
      <w:r>
        <w:rPr>
          <w:rFonts w:hint="eastAsia" w:ascii="宋体" w:hAnsi="宋体" w:eastAsia="宋体" w:cs="宋体"/>
          <w:sz w:val="24"/>
          <w:szCs w:val="24"/>
        </w:rPr>
        <w:t>执</w:t>
      </w:r>
      <w:r>
        <w:rPr>
          <w:rFonts w:hint="eastAsia" w:ascii="宋体" w:hAnsi="宋体" w:eastAsia="宋体" w:cs="宋体"/>
          <w:sz w:val="24"/>
          <w:szCs w:val="24"/>
          <w:lang w:eastAsia="zh-CN"/>
        </w:rPr>
        <w:t>伍</w:t>
      </w:r>
      <w:r>
        <w:rPr>
          <w:rFonts w:hint="eastAsia" w:ascii="宋体" w:hAnsi="宋体" w:eastAsia="宋体" w:cs="宋体"/>
          <w:sz w:val="24"/>
          <w:szCs w:val="24"/>
        </w:rPr>
        <w:t>份乙方执贰份。</w:t>
      </w:r>
    </w:p>
    <w:p w14:paraId="0A7AA989">
      <w:pPr>
        <w:keepNext w:val="0"/>
        <w:keepLines w:val="0"/>
        <w:pageBreakBefore w:val="0"/>
        <w:kinsoku/>
        <w:wordWrap/>
        <w:overflowPunct/>
        <w:topLinePunct w:val="0"/>
        <w:autoSpaceDE/>
        <w:autoSpaceDN/>
        <w:bidi w:val="0"/>
        <w:adjustRightInd/>
        <w:snapToGrid w:val="0"/>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3、如本合同有未尽事宜，以磋商文件为准，磋商文件未做要求的，由双方依法订立补充合同。</w:t>
      </w:r>
    </w:p>
    <w:p w14:paraId="03BA197C">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4、本合同双方签字盖章之日起生效。</w:t>
      </w:r>
    </w:p>
    <w:tbl>
      <w:tblPr>
        <w:tblStyle w:val="7"/>
        <w:tblW w:w="9538" w:type="dxa"/>
        <w:jc w:val="center"/>
        <w:tblLayout w:type="fixed"/>
        <w:tblCellMar>
          <w:top w:w="0" w:type="dxa"/>
          <w:left w:w="108" w:type="dxa"/>
          <w:bottom w:w="0" w:type="dxa"/>
          <w:right w:w="108" w:type="dxa"/>
        </w:tblCellMar>
      </w:tblPr>
      <w:tblGrid>
        <w:gridCol w:w="4705"/>
        <w:gridCol w:w="351"/>
        <w:gridCol w:w="4482"/>
      </w:tblGrid>
      <w:tr w14:paraId="0A185DEA">
        <w:tblPrEx>
          <w:tblCellMar>
            <w:top w:w="0" w:type="dxa"/>
            <w:left w:w="108" w:type="dxa"/>
            <w:bottom w:w="0" w:type="dxa"/>
            <w:right w:w="108" w:type="dxa"/>
          </w:tblCellMar>
        </w:tblPrEx>
        <w:trPr>
          <w:jc w:val="center"/>
        </w:trPr>
        <w:tc>
          <w:tcPr>
            <w:tcW w:w="4705" w:type="dxa"/>
            <w:noWrap w:val="0"/>
            <w:vAlign w:val="center"/>
          </w:tcPr>
          <w:p w14:paraId="4422EAD1">
            <w:pPr>
              <w:ind w:left="0" w:leftChars="0" w:firstLine="0" w:firstLineChars="0"/>
              <w:rPr>
                <w:rFonts w:hint="eastAsia" w:ascii="Calibri" w:hAnsi="Calibri" w:eastAsia="宋体" w:cs="Times New Roman"/>
              </w:rPr>
            </w:pPr>
            <w:r>
              <w:rPr>
                <w:rFonts w:hint="eastAsia" w:ascii="Calibri" w:hAnsi="Calibri" w:eastAsia="宋体" w:cs="Times New Roman"/>
              </w:rPr>
              <w:t>甲方名称：</w:t>
            </w:r>
          </w:p>
        </w:tc>
        <w:tc>
          <w:tcPr>
            <w:tcW w:w="351" w:type="dxa"/>
            <w:noWrap w:val="0"/>
            <w:vAlign w:val="center"/>
          </w:tcPr>
          <w:p w14:paraId="0445C814">
            <w:pPr>
              <w:ind w:left="0" w:leftChars="0" w:firstLine="0" w:firstLineChars="0"/>
              <w:rPr>
                <w:rFonts w:hint="eastAsia" w:ascii="Calibri" w:hAnsi="Calibri" w:eastAsia="宋体" w:cs="Times New Roman"/>
              </w:rPr>
            </w:pPr>
          </w:p>
        </w:tc>
        <w:tc>
          <w:tcPr>
            <w:tcW w:w="4482" w:type="dxa"/>
            <w:noWrap w:val="0"/>
            <w:vAlign w:val="center"/>
          </w:tcPr>
          <w:p w14:paraId="6EEA2E53">
            <w:pPr>
              <w:ind w:left="0" w:leftChars="0" w:firstLine="0" w:firstLineChars="0"/>
              <w:rPr>
                <w:rFonts w:hint="eastAsia" w:ascii="Calibri" w:hAnsi="Calibri" w:eastAsia="宋体" w:cs="Times New Roman"/>
              </w:rPr>
            </w:pPr>
            <w:r>
              <w:rPr>
                <w:rFonts w:hint="eastAsia" w:ascii="Calibri" w:hAnsi="Calibri" w:eastAsia="宋体" w:cs="Times New Roman"/>
              </w:rPr>
              <w:t>乙方名称：</w:t>
            </w:r>
          </w:p>
        </w:tc>
      </w:tr>
      <w:tr w14:paraId="775B5D1E">
        <w:tblPrEx>
          <w:tblCellMar>
            <w:top w:w="0" w:type="dxa"/>
            <w:left w:w="108" w:type="dxa"/>
            <w:bottom w:w="0" w:type="dxa"/>
            <w:right w:w="108" w:type="dxa"/>
          </w:tblCellMar>
        </w:tblPrEx>
        <w:trPr>
          <w:jc w:val="center"/>
        </w:trPr>
        <w:tc>
          <w:tcPr>
            <w:tcW w:w="4705" w:type="dxa"/>
            <w:noWrap w:val="0"/>
            <w:vAlign w:val="center"/>
          </w:tcPr>
          <w:p w14:paraId="1DDD256B">
            <w:pPr>
              <w:ind w:left="0" w:leftChars="0" w:firstLine="0" w:firstLineChars="0"/>
              <w:rPr>
                <w:rFonts w:hint="eastAsia" w:ascii="Calibri" w:hAnsi="Calibri" w:eastAsia="宋体" w:cs="Times New Roman"/>
              </w:rPr>
            </w:pPr>
            <w:r>
              <w:rPr>
                <w:rFonts w:hint="eastAsia" w:ascii="Calibri" w:hAnsi="Calibri" w:eastAsia="宋体" w:cs="Times New Roman"/>
              </w:rPr>
              <w:t>法定代表人：(盖章)</w:t>
            </w:r>
          </w:p>
        </w:tc>
        <w:tc>
          <w:tcPr>
            <w:tcW w:w="351" w:type="dxa"/>
            <w:noWrap w:val="0"/>
            <w:vAlign w:val="center"/>
          </w:tcPr>
          <w:p w14:paraId="7CC8FD60">
            <w:pPr>
              <w:ind w:left="0" w:leftChars="0" w:firstLine="0" w:firstLineChars="0"/>
              <w:rPr>
                <w:rFonts w:hint="eastAsia" w:ascii="Calibri" w:hAnsi="Calibri" w:eastAsia="宋体" w:cs="Times New Roman"/>
              </w:rPr>
            </w:pPr>
          </w:p>
        </w:tc>
        <w:tc>
          <w:tcPr>
            <w:tcW w:w="4482" w:type="dxa"/>
            <w:noWrap w:val="0"/>
            <w:vAlign w:val="center"/>
          </w:tcPr>
          <w:p w14:paraId="1AD2B9A4">
            <w:pPr>
              <w:ind w:left="0" w:leftChars="0" w:firstLine="0" w:firstLineChars="0"/>
              <w:rPr>
                <w:rFonts w:hint="eastAsia" w:ascii="Calibri" w:hAnsi="Calibri" w:eastAsia="宋体" w:cs="Times New Roman"/>
              </w:rPr>
            </w:pPr>
            <w:r>
              <w:rPr>
                <w:rFonts w:hint="eastAsia" w:ascii="Calibri" w:hAnsi="Calibri" w:eastAsia="宋体" w:cs="Times New Roman"/>
              </w:rPr>
              <w:t>法定代表人：(盖章)</w:t>
            </w:r>
          </w:p>
        </w:tc>
      </w:tr>
      <w:tr w14:paraId="48A2455D">
        <w:tblPrEx>
          <w:tblCellMar>
            <w:top w:w="0" w:type="dxa"/>
            <w:left w:w="108" w:type="dxa"/>
            <w:bottom w:w="0" w:type="dxa"/>
            <w:right w:w="108" w:type="dxa"/>
          </w:tblCellMar>
        </w:tblPrEx>
        <w:trPr>
          <w:jc w:val="center"/>
        </w:trPr>
        <w:tc>
          <w:tcPr>
            <w:tcW w:w="4705" w:type="dxa"/>
            <w:noWrap w:val="0"/>
            <w:vAlign w:val="center"/>
          </w:tcPr>
          <w:p w14:paraId="208382C5">
            <w:pPr>
              <w:ind w:left="0" w:leftChars="0" w:firstLine="0" w:firstLineChars="0"/>
              <w:rPr>
                <w:rFonts w:hint="eastAsia" w:ascii="Calibri" w:hAnsi="Calibri" w:eastAsia="宋体" w:cs="Times New Roman"/>
              </w:rPr>
            </w:pPr>
            <w:r>
              <w:rPr>
                <w:rFonts w:hint="eastAsia" w:ascii="Calibri" w:hAnsi="Calibri" w:eastAsia="宋体" w:cs="Times New Roman"/>
              </w:rPr>
              <w:t>委托代理人：（签字）</w:t>
            </w:r>
          </w:p>
        </w:tc>
        <w:tc>
          <w:tcPr>
            <w:tcW w:w="351" w:type="dxa"/>
            <w:noWrap w:val="0"/>
            <w:vAlign w:val="center"/>
          </w:tcPr>
          <w:p w14:paraId="7285302A">
            <w:pPr>
              <w:ind w:left="0" w:leftChars="0" w:firstLine="0" w:firstLineChars="0"/>
              <w:rPr>
                <w:rFonts w:hint="eastAsia" w:ascii="Calibri" w:hAnsi="Calibri" w:eastAsia="宋体" w:cs="Times New Roman"/>
              </w:rPr>
            </w:pPr>
          </w:p>
        </w:tc>
        <w:tc>
          <w:tcPr>
            <w:tcW w:w="4482" w:type="dxa"/>
            <w:noWrap w:val="0"/>
            <w:vAlign w:val="center"/>
          </w:tcPr>
          <w:p w14:paraId="0A83C85C">
            <w:pPr>
              <w:ind w:left="0" w:leftChars="0" w:firstLine="0" w:firstLineChars="0"/>
              <w:rPr>
                <w:rFonts w:hint="eastAsia" w:ascii="Calibri" w:hAnsi="Calibri" w:eastAsia="宋体" w:cs="Times New Roman"/>
              </w:rPr>
            </w:pPr>
            <w:r>
              <w:rPr>
                <w:rFonts w:hint="eastAsia" w:ascii="Calibri" w:hAnsi="Calibri" w:eastAsia="宋体" w:cs="Times New Roman"/>
              </w:rPr>
              <w:t>委托代理人：（签字）</w:t>
            </w:r>
          </w:p>
        </w:tc>
      </w:tr>
      <w:tr w14:paraId="2818ABDC">
        <w:tblPrEx>
          <w:tblCellMar>
            <w:top w:w="0" w:type="dxa"/>
            <w:left w:w="108" w:type="dxa"/>
            <w:bottom w:w="0" w:type="dxa"/>
            <w:right w:w="108" w:type="dxa"/>
          </w:tblCellMar>
        </w:tblPrEx>
        <w:trPr>
          <w:jc w:val="center"/>
        </w:trPr>
        <w:tc>
          <w:tcPr>
            <w:tcW w:w="4705" w:type="dxa"/>
            <w:noWrap w:val="0"/>
            <w:vAlign w:val="center"/>
          </w:tcPr>
          <w:p w14:paraId="02215EC3">
            <w:pPr>
              <w:ind w:left="0" w:leftChars="0" w:firstLine="0" w:firstLineChars="0"/>
              <w:rPr>
                <w:rFonts w:hint="eastAsia" w:ascii="Calibri" w:hAnsi="Calibri" w:eastAsia="宋体" w:cs="Times New Roman"/>
              </w:rPr>
            </w:pPr>
            <w:r>
              <w:rPr>
                <w:rFonts w:hint="eastAsia" w:ascii="Calibri" w:hAnsi="Calibri" w:eastAsia="宋体" w:cs="Times New Roman"/>
                <w:lang w:eastAsia="zh-CN"/>
              </w:rPr>
              <w:t>地</w:t>
            </w:r>
            <w:r>
              <w:rPr>
                <w:rFonts w:hint="eastAsia" w:ascii="Calibri" w:hAnsi="Calibri" w:eastAsia="宋体" w:cs="Times New Roman"/>
                <w:lang w:val="en-US" w:eastAsia="zh-CN"/>
              </w:rPr>
              <w:t xml:space="preserve">    </w:t>
            </w:r>
            <w:r>
              <w:rPr>
                <w:rFonts w:hint="eastAsia" w:ascii="Calibri" w:hAnsi="Calibri" w:eastAsia="宋体" w:cs="Times New Roman"/>
                <w:lang w:eastAsia="zh-CN"/>
              </w:rPr>
              <w:t>址</w:t>
            </w:r>
            <w:r>
              <w:rPr>
                <w:rFonts w:hint="eastAsia" w:ascii="Calibri" w:hAnsi="Calibri" w:eastAsia="宋体" w:cs="Times New Roman"/>
              </w:rPr>
              <w:t>：</w:t>
            </w:r>
          </w:p>
        </w:tc>
        <w:tc>
          <w:tcPr>
            <w:tcW w:w="351" w:type="dxa"/>
            <w:noWrap w:val="0"/>
            <w:vAlign w:val="center"/>
          </w:tcPr>
          <w:p w14:paraId="0DBF83EE">
            <w:pPr>
              <w:ind w:left="0" w:leftChars="0" w:firstLine="0" w:firstLineChars="0"/>
              <w:rPr>
                <w:rFonts w:hint="eastAsia" w:ascii="Calibri" w:hAnsi="Calibri" w:eastAsia="宋体" w:cs="Times New Roman"/>
              </w:rPr>
            </w:pPr>
          </w:p>
        </w:tc>
        <w:tc>
          <w:tcPr>
            <w:tcW w:w="4482" w:type="dxa"/>
            <w:noWrap w:val="0"/>
            <w:vAlign w:val="center"/>
          </w:tcPr>
          <w:p w14:paraId="08F2C9E4">
            <w:pPr>
              <w:ind w:left="0" w:leftChars="0" w:firstLine="0" w:firstLineChars="0"/>
              <w:rPr>
                <w:rFonts w:hint="eastAsia" w:ascii="Calibri" w:hAnsi="Calibri" w:eastAsia="宋体" w:cs="Times New Roman"/>
              </w:rPr>
            </w:pPr>
            <w:r>
              <w:rPr>
                <w:rFonts w:hint="eastAsia" w:ascii="Calibri" w:hAnsi="Calibri" w:eastAsia="宋体" w:cs="Times New Roman"/>
                <w:lang w:eastAsia="zh-CN"/>
              </w:rPr>
              <w:t>地</w:t>
            </w:r>
            <w:r>
              <w:rPr>
                <w:rFonts w:hint="eastAsia" w:ascii="Calibri" w:hAnsi="Calibri" w:eastAsia="宋体" w:cs="Times New Roman"/>
                <w:lang w:val="en-US" w:eastAsia="zh-CN"/>
              </w:rPr>
              <w:t xml:space="preserve">    </w:t>
            </w:r>
            <w:r>
              <w:rPr>
                <w:rFonts w:hint="eastAsia" w:ascii="Calibri" w:hAnsi="Calibri" w:eastAsia="宋体" w:cs="Times New Roman"/>
                <w:lang w:eastAsia="zh-CN"/>
              </w:rPr>
              <w:t>址</w:t>
            </w:r>
            <w:r>
              <w:rPr>
                <w:rFonts w:hint="eastAsia" w:ascii="Calibri" w:hAnsi="Calibri" w:eastAsia="宋体" w:cs="Times New Roman"/>
              </w:rPr>
              <w:t>：</w:t>
            </w:r>
          </w:p>
        </w:tc>
      </w:tr>
      <w:tr w14:paraId="1708A8FC">
        <w:tblPrEx>
          <w:tblCellMar>
            <w:top w:w="0" w:type="dxa"/>
            <w:left w:w="108" w:type="dxa"/>
            <w:bottom w:w="0" w:type="dxa"/>
            <w:right w:w="108" w:type="dxa"/>
          </w:tblCellMar>
        </w:tblPrEx>
        <w:trPr>
          <w:jc w:val="center"/>
        </w:trPr>
        <w:tc>
          <w:tcPr>
            <w:tcW w:w="4705" w:type="dxa"/>
            <w:noWrap w:val="0"/>
            <w:vAlign w:val="center"/>
          </w:tcPr>
          <w:p w14:paraId="3C52A960">
            <w:pPr>
              <w:ind w:left="0" w:leftChars="0" w:firstLine="0" w:firstLineChars="0"/>
              <w:rPr>
                <w:rFonts w:hint="eastAsia" w:ascii="Calibri" w:hAnsi="Calibri" w:eastAsia="宋体" w:cs="Times New Roman"/>
              </w:rPr>
            </w:pPr>
            <w:r>
              <w:rPr>
                <w:rFonts w:hint="eastAsia" w:ascii="Calibri" w:hAnsi="Calibri" w:eastAsia="宋体" w:cs="Times New Roman"/>
              </w:rPr>
              <w:t>邮政编码：</w:t>
            </w:r>
          </w:p>
        </w:tc>
        <w:tc>
          <w:tcPr>
            <w:tcW w:w="351" w:type="dxa"/>
            <w:noWrap w:val="0"/>
            <w:vAlign w:val="center"/>
          </w:tcPr>
          <w:p w14:paraId="160FD8C2">
            <w:pPr>
              <w:ind w:left="0" w:leftChars="0" w:firstLine="0" w:firstLineChars="0"/>
              <w:rPr>
                <w:rFonts w:hint="eastAsia" w:ascii="Calibri" w:hAnsi="Calibri" w:eastAsia="宋体" w:cs="Times New Roman"/>
              </w:rPr>
            </w:pPr>
          </w:p>
        </w:tc>
        <w:tc>
          <w:tcPr>
            <w:tcW w:w="4482" w:type="dxa"/>
            <w:noWrap w:val="0"/>
            <w:vAlign w:val="center"/>
          </w:tcPr>
          <w:p w14:paraId="5E73DD91">
            <w:pPr>
              <w:ind w:left="0" w:leftChars="0" w:firstLine="0" w:firstLineChars="0"/>
              <w:rPr>
                <w:rFonts w:hint="eastAsia" w:ascii="Calibri" w:hAnsi="Calibri" w:eastAsia="宋体" w:cs="Times New Roman"/>
              </w:rPr>
            </w:pPr>
            <w:r>
              <w:rPr>
                <w:rFonts w:hint="eastAsia" w:ascii="Calibri" w:hAnsi="Calibri" w:eastAsia="宋体" w:cs="Times New Roman"/>
              </w:rPr>
              <w:t>邮政编码：</w:t>
            </w:r>
          </w:p>
        </w:tc>
      </w:tr>
      <w:tr w14:paraId="353A210D">
        <w:tblPrEx>
          <w:tblCellMar>
            <w:top w:w="0" w:type="dxa"/>
            <w:left w:w="108" w:type="dxa"/>
            <w:bottom w:w="0" w:type="dxa"/>
            <w:right w:w="108" w:type="dxa"/>
          </w:tblCellMar>
        </w:tblPrEx>
        <w:trPr>
          <w:jc w:val="center"/>
        </w:trPr>
        <w:tc>
          <w:tcPr>
            <w:tcW w:w="4705" w:type="dxa"/>
            <w:noWrap w:val="0"/>
            <w:vAlign w:val="center"/>
          </w:tcPr>
          <w:p w14:paraId="52B932E8">
            <w:pPr>
              <w:ind w:left="0" w:leftChars="0" w:firstLine="0" w:firstLineChars="0"/>
              <w:rPr>
                <w:rFonts w:hint="eastAsia" w:ascii="Calibri" w:hAnsi="Calibri" w:eastAsia="宋体" w:cs="Times New Roman"/>
              </w:rPr>
            </w:pPr>
            <w:r>
              <w:rPr>
                <w:rFonts w:hint="eastAsia" w:ascii="Calibri" w:hAnsi="Calibri" w:eastAsia="宋体" w:cs="Times New Roman"/>
              </w:rPr>
              <w:t>电    话：</w:t>
            </w:r>
          </w:p>
        </w:tc>
        <w:tc>
          <w:tcPr>
            <w:tcW w:w="351" w:type="dxa"/>
            <w:noWrap w:val="0"/>
            <w:vAlign w:val="center"/>
          </w:tcPr>
          <w:p w14:paraId="6BD81EAB">
            <w:pPr>
              <w:ind w:left="0" w:leftChars="0" w:firstLine="0" w:firstLineChars="0"/>
              <w:rPr>
                <w:rFonts w:hint="eastAsia" w:ascii="Calibri" w:hAnsi="Calibri" w:eastAsia="宋体" w:cs="Times New Roman"/>
              </w:rPr>
            </w:pPr>
          </w:p>
        </w:tc>
        <w:tc>
          <w:tcPr>
            <w:tcW w:w="4482" w:type="dxa"/>
            <w:noWrap w:val="0"/>
            <w:vAlign w:val="center"/>
          </w:tcPr>
          <w:p w14:paraId="32C1775F">
            <w:pPr>
              <w:ind w:left="0" w:leftChars="0" w:firstLine="0" w:firstLineChars="0"/>
              <w:rPr>
                <w:rFonts w:hint="eastAsia" w:ascii="Calibri" w:hAnsi="Calibri" w:eastAsia="宋体" w:cs="Times New Roman"/>
              </w:rPr>
            </w:pPr>
            <w:r>
              <w:rPr>
                <w:rFonts w:hint="eastAsia" w:ascii="Calibri" w:hAnsi="Calibri" w:eastAsia="宋体" w:cs="Times New Roman"/>
              </w:rPr>
              <w:t>电    话：</w:t>
            </w:r>
          </w:p>
        </w:tc>
      </w:tr>
      <w:tr w14:paraId="526A85DB">
        <w:tblPrEx>
          <w:tblCellMar>
            <w:top w:w="0" w:type="dxa"/>
            <w:left w:w="108" w:type="dxa"/>
            <w:bottom w:w="0" w:type="dxa"/>
            <w:right w:w="108" w:type="dxa"/>
          </w:tblCellMar>
        </w:tblPrEx>
        <w:trPr>
          <w:jc w:val="center"/>
        </w:trPr>
        <w:tc>
          <w:tcPr>
            <w:tcW w:w="4705" w:type="dxa"/>
            <w:noWrap w:val="0"/>
            <w:vAlign w:val="center"/>
          </w:tcPr>
          <w:p w14:paraId="072F5126">
            <w:pPr>
              <w:ind w:left="0" w:leftChars="0" w:firstLine="0" w:firstLineChars="0"/>
              <w:rPr>
                <w:rFonts w:hint="eastAsia" w:ascii="Calibri" w:hAnsi="Calibri" w:eastAsia="宋体" w:cs="Times New Roman"/>
              </w:rPr>
            </w:pPr>
            <w:r>
              <w:rPr>
                <w:rFonts w:hint="eastAsia" w:ascii="Calibri" w:hAnsi="Calibri" w:eastAsia="宋体" w:cs="Times New Roman"/>
              </w:rPr>
              <w:t>传    真：/</w:t>
            </w:r>
          </w:p>
        </w:tc>
        <w:tc>
          <w:tcPr>
            <w:tcW w:w="351" w:type="dxa"/>
            <w:noWrap w:val="0"/>
            <w:vAlign w:val="center"/>
          </w:tcPr>
          <w:p w14:paraId="2244E35C">
            <w:pPr>
              <w:ind w:left="0" w:leftChars="0" w:firstLine="0" w:firstLineChars="0"/>
              <w:rPr>
                <w:rFonts w:hint="eastAsia" w:ascii="Calibri" w:hAnsi="Calibri" w:eastAsia="宋体" w:cs="Times New Roman"/>
              </w:rPr>
            </w:pPr>
          </w:p>
        </w:tc>
        <w:tc>
          <w:tcPr>
            <w:tcW w:w="4482" w:type="dxa"/>
            <w:noWrap w:val="0"/>
            <w:vAlign w:val="center"/>
          </w:tcPr>
          <w:p w14:paraId="7592EDFC">
            <w:pPr>
              <w:ind w:left="0" w:leftChars="0" w:firstLine="0" w:firstLineChars="0"/>
              <w:rPr>
                <w:rFonts w:hint="eastAsia" w:ascii="Calibri" w:hAnsi="Calibri" w:eastAsia="宋体" w:cs="Times New Roman"/>
              </w:rPr>
            </w:pPr>
            <w:r>
              <w:rPr>
                <w:rFonts w:hint="eastAsia" w:ascii="Calibri" w:hAnsi="Calibri" w:eastAsia="宋体" w:cs="Times New Roman"/>
              </w:rPr>
              <w:t>传    真：</w:t>
            </w:r>
          </w:p>
        </w:tc>
      </w:tr>
      <w:tr w14:paraId="71EF0357">
        <w:tblPrEx>
          <w:tblCellMar>
            <w:top w:w="0" w:type="dxa"/>
            <w:left w:w="108" w:type="dxa"/>
            <w:bottom w:w="0" w:type="dxa"/>
            <w:right w:w="108" w:type="dxa"/>
          </w:tblCellMar>
        </w:tblPrEx>
        <w:trPr>
          <w:jc w:val="center"/>
        </w:trPr>
        <w:tc>
          <w:tcPr>
            <w:tcW w:w="4705" w:type="dxa"/>
            <w:noWrap w:val="0"/>
            <w:vAlign w:val="center"/>
          </w:tcPr>
          <w:p w14:paraId="44292C82">
            <w:pPr>
              <w:ind w:left="0" w:leftChars="0" w:firstLine="0" w:firstLineChars="0"/>
              <w:rPr>
                <w:rFonts w:hint="eastAsia" w:ascii="Calibri" w:hAnsi="Calibri" w:eastAsia="宋体" w:cs="Times New Roman"/>
              </w:rPr>
            </w:pPr>
            <w:r>
              <w:rPr>
                <w:rFonts w:hint="eastAsia" w:ascii="Calibri" w:hAnsi="Calibri" w:eastAsia="宋体" w:cs="Times New Roman"/>
              </w:rPr>
              <w:t>开户银行：</w:t>
            </w:r>
          </w:p>
        </w:tc>
        <w:tc>
          <w:tcPr>
            <w:tcW w:w="351" w:type="dxa"/>
            <w:noWrap w:val="0"/>
            <w:vAlign w:val="center"/>
          </w:tcPr>
          <w:p w14:paraId="1C4BE7F6">
            <w:pPr>
              <w:ind w:left="0" w:leftChars="0" w:firstLine="0" w:firstLineChars="0"/>
              <w:rPr>
                <w:rFonts w:hint="eastAsia" w:ascii="Calibri" w:hAnsi="Calibri" w:eastAsia="宋体" w:cs="Times New Roman"/>
              </w:rPr>
            </w:pPr>
          </w:p>
        </w:tc>
        <w:tc>
          <w:tcPr>
            <w:tcW w:w="4482" w:type="dxa"/>
            <w:noWrap w:val="0"/>
            <w:vAlign w:val="center"/>
          </w:tcPr>
          <w:p w14:paraId="02D944ED">
            <w:pPr>
              <w:ind w:left="0" w:leftChars="0" w:firstLine="0" w:firstLineChars="0"/>
              <w:rPr>
                <w:rFonts w:hint="eastAsia" w:ascii="Calibri" w:hAnsi="Calibri" w:eastAsia="宋体" w:cs="Times New Roman"/>
              </w:rPr>
            </w:pPr>
            <w:r>
              <w:rPr>
                <w:rFonts w:hint="eastAsia" w:ascii="Calibri" w:hAnsi="Calibri" w:eastAsia="宋体" w:cs="Times New Roman"/>
              </w:rPr>
              <w:t>开户银行：</w:t>
            </w:r>
          </w:p>
        </w:tc>
      </w:tr>
      <w:tr w14:paraId="1B09C019">
        <w:tblPrEx>
          <w:tblCellMar>
            <w:top w:w="0" w:type="dxa"/>
            <w:left w:w="108" w:type="dxa"/>
            <w:bottom w:w="0" w:type="dxa"/>
            <w:right w:w="108" w:type="dxa"/>
          </w:tblCellMar>
        </w:tblPrEx>
        <w:trPr>
          <w:jc w:val="center"/>
        </w:trPr>
        <w:tc>
          <w:tcPr>
            <w:tcW w:w="4705" w:type="dxa"/>
            <w:noWrap w:val="0"/>
            <w:vAlign w:val="center"/>
          </w:tcPr>
          <w:p w14:paraId="40F47D0F">
            <w:pPr>
              <w:ind w:left="0" w:leftChars="0" w:firstLine="0" w:firstLineChars="0"/>
              <w:rPr>
                <w:rFonts w:hint="eastAsia" w:ascii="Calibri" w:hAnsi="Calibri" w:eastAsia="宋体" w:cs="Times New Roman"/>
              </w:rPr>
            </w:pPr>
            <w:r>
              <w:rPr>
                <w:rFonts w:hint="eastAsia" w:ascii="Calibri" w:hAnsi="Calibri" w:eastAsia="宋体" w:cs="Times New Roman"/>
              </w:rPr>
              <w:t>银行账号：</w:t>
            </w:r>
          </w:p>
        </w:tc>
        <w:tc>
          <w:tcPr>
            <w:tcW w:w="351" w:type="dxa"/>
            <w:noWrap w:val="0"/>
            <w:vAlign w:val="center"/>
          </w:tcPr>
          <w:p w14:paraId="4F6C5F99">
            <w:pPr>
              <w:ind w:left="0" w:leftChars="0" w:firstLine="0" w:firstLineChars="0"/>
              <w:rPr>
                <w:rFonts w:hint="eastAsia" w:ascii="Calibri" w:hAnsi="Calibri" w:eastAsia="宋体" w:cs="Times New Roman"/>
              </w:rPr>
            </w:pPr>
          </w:p>
        </w:tc>
        <w:tc>
          <w:tcPr>
            <w:tcW w:w="4482" w:type="dxa"/>
            <w:noWrap w:val="0"/>
            <w:vAlign w:val="center"/>
          </w:tcPr>
          <w:p w14:paraId="707386C8">
            <w:pPr>
              <w:ind w:left="0" w:leftChars="0" w:firstLine="0" w:firstLineChars="0"/>
              <w:rPr>
                <w:rFonts w:hint="eastAsia" w:ascii="Calibri" w:hAnsi="Calibri" w:eastAsia="宋体" w:cs="Times New Roman"/>
              </w:rPr>
            </w:pPr>
            <w:r>
              <w:rPr>
                <w:rFonts w:hint="eastAsia" w:ascii="Calibri" w:hAnsi="Calibri" w:eastAsia="宋体" w:cs="Times New Roman"/>
              </w:rPr>
              <w:t>银行账号：</w:t>
            </w:r>
          </w:p>
        </w:tc>
      </w:tr>
    </w:tbl>
    <w:p w14:paraId="5BDC4AA1">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6C2D74"/>
    <w:rsid w:val="01A21D3D"/>
    <w:rsid w:val="1193410E"/>
    <w:rsid w:val="1360023A"/>
    <w:rsid w:val="17503798"/>
    <w:rsid w:val="1E4A2212"/>
    <w:rsid w:val="2AC04827"/>
    <w:rsid w:val="33CD5EE0"/>
    <w:rsid w:val="346C2D74"/>
    <w:rsid w:val="3AE3337B"/>
    <w:rsid w:val="4A5516B4"/>
    <w:rsid w:val="712133CC"/>
    <w:rsid w:val="7B3B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76" w:lineRule="exact"/>
      <w:ind w:firstLine="561"/>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after="330" w:line="576" w:lineRule="auto"/>
      <w:jc w:val="center"/>
      <w:outlineLvl w:val="0"/>
    </w:pPr>
    <w:rPr>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b/>
      <w:sz w:val="32"/>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b/>
      <w:sz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2026-06-18T08:56:00Z</dcterms:created>
  <dc:creator>绿军装的梦</dc:creator>
  <cp:lastModifiedBy>绿军装的梦</cp:lastModifiedBy>
  <dcterms:modified xsi:type="dcterms:W3CDTF">2026-06-18T08:57:02Z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0573E7831D5A4327A1A37537EBCAEE46_11</vt:lpwstr>
  </property>
  <property fmtid="{D5CDD505-2E9C-101B-9397-08002B2CF9AE}" pid="4" name="KSOTemplateDocerSaveRecord">
    <vt:lpwstr>eyJoZGlkIjoiMTRhMDRjM2IwN2Q3NzdjZDIyNzg3NGFkNjIxODBmMTciLCJ1c2VySWQiOiIyNTUwMzE5MDEifQ==</vt:lpwstr>
  </property>
</Properties>
</file>