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版本号：HXCT-WN-JZXCS-【2026】-1720260722001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渭南市华州区中心敬老院综合提升改造项目初步设计及施工图设计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HXCT-WN-JZXCS-【2026】-17</w:t>
      </w:r>
      <w:r>
        <w:br/>
      </w:r>
      <w:r>
        <w:br/>
      </w:r>
      <w:r>
        <w:br/>
      </w:r>
    </w:p>
    <w:p>
      <w:pPr>
        <w:pStyle w:val="null3"/>
        <w:jc w:val="center"/>
        <w:outlineLvl w:val="2"/>
      </w:pPr>
      <w:r>
        <w:rPr>
          <w:rFonts w:ascii="仿宋_GB2312" w:hAnsi="仿宋_GB2312" w:cs="仿宋_GB2312" w:eastAsia="仿宋_GB2312"/>
          <w:sz w:val="28"/>
          <w:b/>
        </w:rPr>
        <w:t>渭南市华州区民政局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渭南市华州区民政局</w:t>
      </w:r>
      <w:r>
        <w:rPr>
          <w:rFonts w:ascii="仿宋_GB2312" w:hAnsi="仿宋_GB2312" w:cs="仿宋_GB2312" w:eastAsia="仿宋_GB2312"/>
        </w:rPr>
        <w:t>委托，拟对</w:t>
      </w:r>
      <w:r>
        <w:rPr>
          <w:rFonts w:ascii="仿宋_GB2312" w:hAnsi="仿宋_GB2312" w:cs="仿宋_GB2312" w:eastAsia="仿宋_GB2312"/>
        </w:rPr>
        <w:t>渭南市华州区中心敬老院综合提升改造项目初步设计及施工图设计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HXCT-WN-JZXCS-【2026】-17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渭南市华州区中心敬老院综合提升改造项目初步设计及施工图设计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区中心敬老院综合提升改造项目包含改造园区整体管网、水电改造，消防安防升级改造，五保楼翻新、适老化改造，厨房、洗衣房等设施设备配备安装等整体园区升级改造。进行初步设计及施工图设计采购，达到项目相关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采购包1（渭南市华州区中心敬老院综合提升改造项目初步设计及施工图设计）：属于专门面向中小企业采购。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1、营业执照等主体资格证明文件：供应商须为具有独立承担民事责任能力的法人或其他组织，出具合法有效的营业执照或事业单位法人证书等国家规定的相关证明；</w:t>
      </w:r>
    </w:p>
    <w:p>
      <w:pPr>
        <w:pStyle w:val="null3"/>
      </w:pPr>
      <w:r>
        <w:rPr>
          <w:rFonts w:ascii="仿宋_GB2312" w:hAnsi="仿宋_GB2312" w:cs="仿宋_GB2312" w:eastAsia="仿宋_GB2312"/>
        </w:rPr>
        <w:t>2、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3、税收缴纳证明：提供磋商截止日前6个月内已缴纳的至少一个月的纳税证明或完税证明（任意税种），依法免税的单位应提供相关证明材料。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4、社会保障资金缴纳证明：提供磋商截止日前6个月内已缴存的至少一个月的社保缴存单据或社保机构开具的社会保险参保缴费情况证明，依法不需要缴纳社会保障资金的单位应提供相关证明材料。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5、履约能力：供应商须具有履行合同所必需的设备和专业技术能力,根据自身情况提供承诺书。</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7、法定代表人身份证明或法定代表人授权委托书：供应商应提供法定代表人身份证明书或授权委托书。法定代表人直接参加的，须出具法定代表人身份证明书，并与营业执照上信息一致。</w:t>
      </w:r>
    </w:p>
    <w:p>
      <w:pPr>
        <w:pStyle w:val="null3"/>
      </w:pPr>
      <w:r>
        <w:rPr>
          <w:rFonts w:ascii="仿宋_GB2312" w:hAnsi="仿宋_GB2312" w:cs="仿宋_GB2312" w:eastAsia="仿宋_GB2312"/>
        </w:rPr>
        <w:t>8、企业资质要求：供应商须具有建设行政主管部门颁发的【工程设计综合甲级资质】或【建筑行业工程设计乙级资质】或【建筑行业（建筑工程）专业设计乙级资质】及以上资质，并在人员、设备、资金等方面具备相应的能力；</w:t>
      </w:r>
    </w:p>
    <w:p>
      <w:pPr>
        <w:pStyle w:val="null3"/>
      </w:pPr>
      <w:r>
        <w:rPr>
          <w:rFonts w:ascii="仿宋_GB2312" w:hAnsi="仿宋_GB2312" w:cs="仿宋_GB2312" w:eastAsia="仿宋_GB2312"/>
        </w:rPr>
        <w:t>9、拟派项目负责人：拟派项目负责人须具备【一级注册建筑师】执业资格，并在在本单位注册。</w:t>
      </w:r>
    </w:p>
    <w:p>
      <w:pPr>
        <w:pStyle w:val="null3"/>
      </w:pPr>
      <w:r>
        <w:rPr>
          <w:rFonts w:ascii="仿宋_GB2312" w:hAnsi="仿宋_GB2312" w:cs="仿宋_GB2312" w:eastAsia="仿宋_GB2312"/>
        </w:rPr>
        <w:t>10、信用查询：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p>
      <w:pPr>
        <w:pStyle w:val="null3"/>
      </w:pPr>
      <w:r>
        <w:rPr>
          <w:rFonts w:ascii="仿宋_GB2312" w:hAnsi="仿宋_GB2312" w:cs="仿宋_GB2312" w:eastAsia="仿宋_GB2312"/>
        </w:rPr>
        <w:t>11、企业关联关系：单位负责人为同一人或者存在直接控股、管理关系的不同供应商，不得参加同一合同项下的磋商活动。</w:t>
      </w:r>
    </w:p>
    <w:p>
      <w:pPr>
        <w:pStyle w:val="null3"/>
      </w:pPr>
      <w:r>
        <w:rPr>
          <w:rFonts w:ascii="仿宋_GB2312" w:hAnsi="仿宋_GB2312" w:cs="仿宋_GB2312" w:eastAsia="仿宋_GB2312"/>
        </w:rPr>
        <w:t>12、联合体情况：本项目不接受联合体磋商。（提供承诺书）。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渭南市华州区新秦路4号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杨毅刚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0913-8358521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0913-4716693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开户名称：华夏城投项⽬管理有限公司渭南分公司</w:t>
            </w:r>
          </w:p>
          <w:p>
            <w:pPr>
              <w:pStyle w:val="null3"/>
            </w:pPr>
            <w:r>
              <w:rPr>
                <w:rFonts w:ascii="仿宋_GB2312" w:hAnsi="仿宋_GB2312" w:cs="仿宋_GB2312" w:eastAsia="仿宋_GB2312"/>
              </w:rPr>
              <w:t>开户银行：中国银⾏渭南仓程路⽀⾏</w:t>
            </w:r>
          </w:p>
          <w:p>
            <w:pPr>
              <w:pStyle w:val="null3"/>
            </w:pPr>
            <w:r>
              <w:rPr>
                <w:rFonts w:ascii="仿宋_GB2312" w:hAnsi="仿宋_GB2312" w:cs="仿宋_GB2312" w:eastAsia="仿宋_GB2312"/>
              </w:rPr>
              <w:t>银行账号：103260621838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办法&gt;的通知》(计价格〔2002〕1980号)、《国家发展改⾰委关于降低部分建设项⽬收费标准规范收费⾏为等有关问题的通知》(发改价格〔2011〕534号)规定执⾏。 汇款账号：1、账⼾名称：华夏城投项⽬管理有限公司渭南分公司 2、开 ⼾ ⾏：中国银⾏渭南仓程路⽀⾏ 3、账 号：103260621838 财务联系⽅式：15291432591 备注：供应商在汇款（招标代理服务费）时须注明项⽬编号+项⽬简称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渭南市华州区民政局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区中心敬老院综合提升改造项目包含改造园区整体管网、水电改造，消防安防升级改造，五保楼翻新、适老化改造，厨房、洗衣房等设施设备配备安装等整体园区升级改造。进行初步设计及施工图设计采购，达到项目相关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w:t>
            </w:r>
            <w:r>
              <w:rPr>
                <w:rFonts w:ascii="仿宋_GB2312" w:hAnsi="仿宋_GB2312" w:cs="仿宋_GB2312" w:eastAsia="仿宋_GB2312"/>
                <w:sz w:val="24"/>
              </w:rPr>
              <w:t>项目概况</w:t>
            </w:r>
          </w:p>
          <w:p>
            <w:pPr>
              <w:pStyle w:val="null3"/>
              <w:ind w:left="-15"/>
              <w:jc w:val="both"/>
            </w:pPr>
            <w:r>
              <w:rPr>
                <w:rFonts w:ascii="仿宋_GB2312" w:hAnsi="仿宋_GB2312" w:cs="仿宋_GB2312" w:eastAsia="仿宋_GB2312"/>
                <w:sz w:val="24"/>
              </w:rPr>
              <w:t>1、项目概况：</w:t>
            </w:r>
          </w:p>
          <w:p>
            <w:pPr>
              <w:pStyle w:val="null3"/>
              <w:ind w:firstLine="484"/>
              <w:jc w:val="both"/>
            </w:pPr>
            <w:r>
              <w:rPr>
                <w:rFonts w:ascii="仿宋_GB2312" w:hAnsi="仿宋_GB2312" w:cs="仿宋_GB2312" w:eastAsia="仿宋_GB2312"/>
                <w:sz w:val="24"/>
              </w:rPr>
              <w:t>渭南市华州区中心敬老院综合提升改造项目由渭南市华州区民政局作为建设单位，属于存量提质改造类民生工程，选址位于陕西省渭南市华州区莲花寺镇荷草村现有院区内，项目全程不新增建设用地、不改变原有土地性质、不新增建筑占地，完全依托既有建筑与场地实施升级改造。</w:t>
            </w:r>
          </w:p>
          <w:p>
            <w:pPr>
              <w:pStyle w:val="null3"/>
              <w:jc w:val="both"/>
            </w:pPr>
            <w:r>
              <w:rPr>
                <w:rFonts w:ascii="仿宋_GB2312" w:hAnsi="仿宋_GB2312" w:cs="仿宋_GB2312" w:eastAsia="仿宋_GB2312"/>
                <w:sz w:val="24"/>
              </w:rPr>
              <w:t>2、主要建设规模及建设内容:</w:t>
            </w:r>
          </w:p>
          <w:p>
            <w:pPr>
              <w:pStyle w:val="null3"/>
              <w:ind w:firstLine="480"/>
              <w:jc w:val="both"/>
            </w:pPr>
            <w:r>
              <w:rPr>
                <w:rFonts w:ascii="仿宋_GB2312" w:hAnsi="仿宋_GB2312" w:cs="仿宋_GB2312" w:eastAsia="仿宋_GB2312"/>
                <w:sz w:val="24"/>
              </w:rPr>
              <w:t>项目以安全兜底、适老为本、补齐短板、长效宜居为核心目标，聚焦院区现存核心痛点，统筹实施建筑修缮、水电管网升级、消防安防提升、适老化改造、医康养配套完善、园区环境整治等改造内容。具体包括五保楼外部防水工程</w:t>
            </w:r>
            <w:r>
              <w:rPr>
                <w:rFonts w:ascii="仿宋_GB2312" w:hAnsi="仿宋_GB2312" w:cs="仿宋_GB2312" w:eastAsia="仿宋_GB2312"/>
                <w:sz w:val="24"/>
              </w:rPr>
              <w:t>4800㎡、水电线路改造7200㎡、增设居室储物功能区、康复性训练用房、浴室地面防滑改造等等；五保楼消防设备提升面积7200㎡、地下设备用房消防监控改造200㎡；园区线路地埋改造、布设监控设施、园区排水管网改造；综合楼体外立面更新2000㎡、食堂操作间整改面积200㎡，全面适配特困老人照护需求。</w:t>
            </w:r>
          </w:p>
          <w:p>
            <w:pPr>
              <w:pStyle w:val="null3"/>
              <w:jc w:val="both"/>
            </w:pPr>
            <w:r>
              <w:rPr>
                <w:rFonts w:ascii="仿宋_GB2312" w:hAnsi="仿宋_GB2312" w:cs="仿宋_GB2312" w:eastAsia="仿宋_GB2312"/>
                <w:sz w:val="24"/>
              </w:rPr>
              <w:t>二、设计原则及设计内容：</w:t>
            </w:r>
          </w:p>
          <w:p>
            <w:pPr>
              <w:pStyle w:val="null3"/>
              <w:ind w:firstLine="480"/>
              <w:jc w:val="both"/>
            </w:pPr>
            <w:r>
              <w:rPr>
                <w:rFonts w:ascii="仿宋_GB2312" w:hAnsi="仿宋_GB2312" w:cs="仿宋_GB2312" w:eastAsia="仿宋_GB2312"/>
                <w:sz w:val="24"/>
              </w:rPr>
              <w:t>通过精准、完整、可直接指导施工的图纸与说明，明确工程做法、尺寸、材料及构造细节，确保项目安全、经济、高效落地建成。</w:t>
            </w:r>
          </w:p>
          <w:p>
            <w:pPr>
              <w:pStyle w:val="null3"/>
              <w:ind w:firstLine="360"/>
              <w:jc w:val="both"/>
            </w:pPr>
            <w:r>
              <w:rPr>
                <w:rFonts w:ascii="仿宋_GB2312" w:hAnsi="仿宋_GB2312" w:cs="仿宋_GB2312" w:eastAsia="仿宋_GB2312"/>
                <w:sz w:val="24"/>
              </w:rPr>
              <w:t>根据上述内容为华州区中心敬老院综合提升改造项目进行初步设计及施工图设计，包含初步设计、概算书和施工图设计。</w:t>
            </w:r>
          </w:p>
          <w:p>
            <w:pPr>
              <w:pStyle w:val="null3"/>
              <w:jc w:val="both"/>
            </w:pPr>
            <w:r>
              <w:rPr>
                <w:rFonts w:ascii="仿宋_GB2312" w:hAnsi="仿宋_GB2312" w:cs="仿宋_GB2312" w:eastAsia="仿宋_GB2312"/>
                <w:sz w:val="24"/>
              </w:rPr>
              <w:t>三、设计依据</w:t>
            </w:r>
          </w:p>
          <w:p>
            <w:pPr>
              <w:pStyle w:val="null3"/>
              <w:ind w:firstLine="480"/>
              <w:jc w:val="both"/>
            </w:pPr>
            <w:r>
              <w:rPr>
                <w:rFonts w:ascii="仿宋_GB2312" w:hAnsi="仿宋_GB2312" w:cs="仿宋_GB2312" w:eastAsia="仿宋_GB2312"/>
                <w:sz w:val="24"/>
              </w:rPr>
              <w:t>供应商在设计工作中必须使用中华人民共和国《工程建设标准强制性条文》和下述标准、规范（不限于）：</w:t>
            </w:r>
          </w:p>
          <w:p>
            <w:pPr>
              <w:pStyle w:val="null3"/>
              <w:jc w:val="both"/>
            </w:pPr>
            <w:r>
              <w:rPr>
                <w:rFonts w:ascii="仿宋_GB2312" w:hAnsi="仿宋_GB2312" w:cs="仿宋_GB2312" w:eastAsia="仿宋_GB2312"/>
                <w:sz w:val="24"/>
              </w:rPr>
              <w:t>《民用建筑通用规范》（</w:t>
            </w:r>
            <w:r>
              <w:rPr>
                <w:rFonts w:ascii="仿宋_GB2312" w:hAnsi="仿宋_GB2312" w:cs="仿宋_GB2312" w:eastAsia="仿宋_GB2312"/>
                <w:sz w:val="24"/>
              </w:rPr>
              <w:t>GB55031-2022）</w:t>
            </w:r>
          </w:p>
          <w:p>
            <w:pPr>
              <w:pStyle w:val="null3"/>
              <w:jc w:val="both"/>
            </w:pPr>
            <w:r>
              <w:rPr>
                <w:rFonts w:ascii="仿宋_GB2312" w:hAnsi="仿宋_GB2312" w:cs="仿宋_GB2312" w:eastAsia="仿宋_GB2312"/>
                <w:sz w:val="24"/>
              </w:rPr>
              <w:t>《建筑防火通用规范》（</w:t>
            </w:r>
            <w:r>
              <w:rPr>
                <w:rFonts w:ascii="仿宋_GB2312" w:hAnsi="仿宋_GB2312" w:cs="仿宋_GB2312" w:eastAsia="仿宋_GB2312"/>
                <w:sz w:val="24"/>
              </w:rPr>
              <w:t>GB55037-2022）</w:t>
            </w:r>
          </w:p>
          <w:p>
            <w:pPr>
              <w:pStyle w:val="null3"/>
              <w:jc w:val="both"/>
            </w:pPr>
            <w:r>
              <w:rPr>
                <w:rFonts w:ascii="仿宋_GB2312" w:hAnsi="仿宋_GB2312" w:cs="仿宋_GB2312" w:eastAsia="仿宋_GB2312"/>
                <w:sz w:val="24"/>
              </w:rPr>
              <w:t>《建筑设计防火规范》（</w:t>
            </w:r>
            <w:r>
              <w:rPr>
                <w:rFonts w:ascii="仿宋_GB2312" w:hAnsi="仿宋_GB2312" w:cs="仿宋_GB2312" w:eastAsia="仿宋_GB2312"/>
                <w:sz w:val="24"/>
              </w:rPr>
              <w:t>GB55016-2014）（2018年版）</w:t>
            </w:r>
          </w:p>
          <w:p>
            <w:pPr>
              <w:pStyle w:val="null3"/>
              <w:jc w:val="both"/>
            </w:pPr>
            <w:r>
              <w:rPr>
                <w:rFonts w:ascii="仿宋_GB2312" w:hAnsi="仿宋_GB2312" w:cs="仿宋_GB2312" w:eastAsia="仿宋_GB2312"/>
                <w:sz w:val="24"/>
              </w:rPr>
              <w:t>《建筑与市政工程防水通用规范》</w:t>
            </w:r>
            <w:r>
              <w:rPr>
                <w:rFonts w:ascii="仿宋_GB2312" w:hAnsi="仿宋_GB2312" w:cs="仿宋_GB2312" w:eastAsia="仿宋_GB2312"/>
                <w:sz w:val="24"/>
              </w:rPr>
              <w:t>(GB55030-2022)</w:t>
            </w:r>
          </w:p>
          <w:p>
            <w:pPr>
              <w:pStyle w:val="null3"/>
              <w:jc w:val="both"/>
            </w:pPr>
            <w:r>
              <w:rPr>
                <w:rFonts w:ascii="仿宋_GB2312" w:hAnsi="仿宋_GB2312" w:cs="仿宋_GB2312" w:eastAsia="仿宋_GB2312"/>
                <w:sz w:val="24"/>
              </w:rPr>
              <w:t>《屋面工程技术规范》</w:t>
            </w:r>
            <w:r>
              <w:rPr>
                <w:rFonts w:ascii="仿宋_GB2312" w:hAnsi="仿宋_GB2312" w:cs="仿宋_GB2312" w:eastAsia="仿宋_GB2312"/>
                <w:sz w:val="24"/>
              </w:rPr>
              <w:t>(GB50345-2012)</w:t>
            </w:r>
          </w:p>
          <w:p>
            <w:pPr>
              <w:pStyle w:val="null3"/>
              <w:jc w:val="both"/>
            </w:pPr>
            <w:r>
              <w:rPr>
                <w:rFonts w:ascii="仿宋_GB2312" w:hAnsi="仿宋_GB2312" w:cs="仿宋_GB2312" w:eastAsia="仿宋_GB2312"/>
                <w:sz w:val="24"/>
              </w:rPr>
              <w:t>《建筑外墙防水工程技术规程》</w:t>
            </w:r>
            <w:r>
              <w:rPr>
                <w:rFonts w:ascii="仿宋_GB2312" w:hAnsi="仿宋_GB2312" w:cs="仿宋_GB2312" w:eastAsia="仿宋_GB2312"/>
                <w:sz w:val="24"/>
              </w:rPr>
              <w:t>(JG)/T235-2011)</w:t>
            </w:r>
          </w:p>
          <w:p>
            <w:pPr>
              <w:pStyle w:val="null3"/>
              <w:jc w:val="both"/>
            </w:pPr>
            <w:r>
              <w:rPr>
                <w:rFonts w:ascii="仿宋_GB2312" w:hAnsi="仿宋_GB2312" w:cs="仿宋_GB2312" w:eastAsia="仿宋_GB2312"/>
                <w:sz w:val="24"/>
              </w:rPr>
              <w:t>《养老设施建筑设计规范</w:t>
            </w:r>
            <w:r>
              <w:rPr>
                <w:rFonts w:ascii="仿宋_GB2312" w:hAnsi="仿宋_GB2312" w:cs="仿宋_GB2312" w:eastAsia="仿宋_GB2312"/>
                <w:sz w:val="24"/>
              </w:rPr>
              <w:t>)GB50867-2013:</w:t>
            </w:r>
          </w:p>
          <w:p>
            <w:pPr>
              <w:pStyle w:val="null3"/>
              <w:jc w:val="both"/>
            </w:pPr>
            <w:r>
              <w:rPr>
                <w:rFonts w:ascii="仿宋_GB2312" w:hAnsi="仿宋_GB2312" w:cs="仿宋_GB2312" w:eastAsia="仿宋_GB2312"/>
                <w:sz w:val="24"/>
              </w:rPr>
              <w:t>《老年人照料设施建筑设计标准》</w:t>
            </w:r>
            <w:r>
              <w:rPr>
                <w:rFonts w:ascii="仿宋_GB2312" w:hAnsi="仿宋_GB2312" w:cs="仿宋_GB2312" w:eastAsia="仿宋_GB2312"/>
                <w:sz w:val="24"/>
              </w:rPr>
              <w:t>(JG450-2018)</w:t>
            </w:r>
          </w:p>
          <w:p>
            <w:pPr>
              <w:pStyle w:val="null3"/>
              <w:jc w:val="both"/>
            </w:pPr>
            <w:r>
              <w:rPr>
                <w:rFonts w:ascii="仿宋_GB2312" w:hAnsi="仿宋_GB2312" w:cs="仿宋_GB2312" w:eastAsia="仿宋_GB2312"/>
                <w:sz w:val="24"/>
              </w:rPr>
              <w:t>《建筑与市政工程无障碍通用规范》（</w:t>
            </w:r>
            <w:r>
              <w:rPr>
                <w:rFonts w:ascii="仿宋_GB2312" w:hAnsi="仿宋_GB2312" w:cs="仿宋_GB2312" w:eastAsia="仿宋_GB2312"/>
                <w:sz w:val="24"/>
              </w:rPr>
              <w:t>GB55019-2021）</w:t>
            </w:r>
          </w:p>
          <w:p>
            <w:pPr>
              <w:pStyle w:val="null3"/>
              <w:jc w:val="both"/>
            </w:pPr>
            <w:r>
              <w:rPr>
                <w:rFonts w:ascii="仿宋_GB2312" w:hAnsi="仿宋_GB2312" w:cs="仿宋_GB2312" w:eastAsia="仿宋_GB2312"/>
                <w:sz w:val="24"/>
              </w:rPr>
              <w:t>四、设计成果：</w:t>
            </w:r>
          </w:p>
          <w:p>
            <w:pPr>
              <w:pStyle w:val="null3"/>
              <w:jc w:val="both"/>
            </w:pPr>
            <w:r>
              <w:rPr>
                <w:rFonts w:ascii="仿宋_GB2312" w:hAnsi="仿宋_GB2312" w:cs="仿宋_GB2312" w:eastAsia="仿宋_GB2312"/>
                <w:sz w:val="24"/>
              </w:rPr>
              <w:t>1、初步设计及施工图份数：各8套；</w:t>
            </w:r>
          </w:p>
          <w:p>
            <w:pPr>
              <w:pStyle w:val="null3"/>
              <w:jc w:val="both"/>
            </w:pPr>
            <w:r>
              <w:rPr>
                <w:rFonts w:ascii="仿宋_GB2312" w:hAnsi="仿宋_GB2312" w:cs="仿宋_GB2312" w:eastAsia="仿宋_GB2312"/>
                <w:sz w:val="24"/>
              </w:rPr>
              <w:t>2、提供初步设计及施工图纸等电子版。</w:t>
            </w:r>
          </w:p>
          <w:p>
            <w:pPr>
              <w:pStyle w:val="null3"/>
              <w:jc w:val="both"/>
            </w:pPr>
            <w:r>
              <w:rPr>
                <w:rFonts w:ascii="仿宋_GB2312" w:hAnsi="仿宋_GB2312" w:cs="仿宋_GB2312" w:eastAsia="仿宋_GB2312"/>
                <w:sz w:val="24"/>
              </w:rPr>
              <w:t>五、商务要求</w:t>
            </w:r>
          </w:p>
          <w:p>
            <w:pPr>
              <w:pStyle w:val="null3"/>
              <w:jc w:val="both"/>
            </w:pPr>
            <w:r>
              <w:rPr>
                <w:rFonts w:ascii="仿宋_GB2312" w:hAnsi="仿宋_GB2312" w:cs="仿宋_GB2312" w:eastAsia="仿宋_GB2312"/>
                <w:sz w:val="24"/>
              </w:rPr>
              <w:t>1、服务期限：自合同签订之日起60日历天（提交设计成果，设计服务至该工程竣工验收完成）</w:t>
            </w:r>
          </w:p>
          <w:p>
            <w:pPr>
              <w:pStyle w:val="null3"/>
              <w:jc w:val="both"/>
            </w:pPr>
            <w:r>
              <w:rPr>
                <w:rFonts w:ascii="仿宋_GB2312" w:hAnsi="仿宋_GB2312" w:cs="仿宋_GB2312" w:eastAsia="仿宋_GB2312"/>
                <w:sz w:val="24"/>
              </w:rPr>
              <w:t>2、质量要求：设计质量合格，符合国家现行设计规范标准及施工的要求，通过施工图审查及主管部门备案，全程配合施工及验收工作。</w:t>
            </w:r>
          </w:p>
          <w:p>
            <w:pPr>
              <w:pStyle w:val="null3"/>
              <w:jc w:val="both"/>
            </w:pPr>
            <w:r>
              <w:rPr>
                <w:rFonts w:ascii="仿宋_GB2312" w:hAnsi="仿宋_GB2312" w:cs="仿宋_GB2312" w:eastAsia="仿宋_GB2312"/>
                <w:sz w:val="24"/>
              </w:rPr>
              <w:t>3、付款方式：具体以中标后最终签订的设计合同为准</w:t>
            </w:r>
          </w:p>
          <w:p>
            <w:pPr>
              <w:pStyle w:val="null3"/>
            </w:pPr>
            <w:r>
              <w:rPr>
                <w:rFonts w:ascii="仿宋_GB2312" w:hAnsi="仿宋_GB2312" w:cs="仿宋_GB2312" w:eastAsia="仿宋_GB2312"/>
                <w:sz w:val="24"/>
              </w:rPr>
              <w:t>4、其他要求：符合相关规定。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60 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预付款，合同签订后3日内，达到付款条件起3个工作日内，支付合同总金额的30.0%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进度款，方案确定后，达到付款条件起3个工作日内，支付合同总金额的30.0%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进度款，竣工图审查通过后，达到付款条件起3个工作日内，支付合同总金额的35.0%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其他，竣工验收前，达到付款条件起3个工作日内，支付合同总金额的5.0%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下载（领取）中标通知书时，提交纸质响应⽂件正本壹份、副本贰份、电⼦版叁份（U盘或光盘注明单位名称）编辑⽬录和⻚码，内容和通过电⼦化交易平台实施的政府采购项⽬提交的响应⽂件⼀致。纸质响应⽂件正副本分别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供应商需在项⽬电⼦化交易系统中按要求 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提供磋商截止日前6个月内已缴存的至少一个月的社保缴存单据或社保机构开具的社会保险参保缴费情况证明，依法不需要缴纳社会保障资金的单位应提供相关证明材料。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供应商须具有建设行政主管部门颁发的【工程设计综合甲级资质】或【建筑行业工程设计乙级资质】或【建筑行业（建筑工程）专业设计乙级资质】及以上资质，并在人员、设备、资金等方面具备相应的能力；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拟派项目负责人须具备【一级注册建筑师】执业资格，并在在本单位注册。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服务内容及服务要求应答表 报价表 项目部人员构成人员.docx 响应文件封面 政府采购供应商拒绝政府采购领域商业贿赂承诺书.docx 拟派项目设计负责人.docx 残疾人福利性单位声明函 服务方案 标的清单 响应函 磋商保证金缴纳证明.docx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已缴纳磋商保证金</w:t>
            </w:r>
          </w:p>
        </w:tc>
        <w:tc>
          <w:tcPr>
            <w:tcW w:type="dxa" w:w="1661"/>
          </w:tcPr>
          <w:p>
            <w:pPr>
              <w:pStyle w:val="null3"/>
            </w:pPr>
            <w:r>
              <w:rPr>
                <w:rFonts w:ascii="仿宋_GB2312" w:hAnsi="仿宋_GB2312" w:cs="仿宋_GB2312" w:eastAsia="仿宋_GB2312"/>
              </w:rPr>
              <w:t>磋商保证金缴纳证明.docx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供应商提供自2023年07月01日至本项目响应文件递交截止时间前的类似房屋建筑工程设计业绩证明材料，每提供1项得3分，最多得15分。未提供的或所提供资料不符合要求的不得分。 评审依据：提供合同的复印件或中标通知书或扫描件加盖公章。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拟派项目设计负责人1</w:t>
            </w:r>
          </w:p>
        </w:tc>
        <w:tc>
          <w:tcPr>
            <w:tcW w:type="dxa" w:w="2492"/>
          </w:tcPr>
          <w:p>
            <w:pPr>
              <w:pStyle w:val="null3"/>
            </w:pPr>
            <w:r>
              <w:rPr>
                <w:rFonts w:ascii="仿宋_GB2312" w:hAnsi="仿宋_GB2312" w:cs="仿宋_GB2312" w:eastAsia="仿宋_GB2312"/>
              </w:rPr>
              <w:t>拟派项目设计负责人具备高级专业技术职称的得4分，中级职称的得2分，其余情况不得分。 评审依据：评审时以供应商提供的拟派项目设计负责人最高职称证书的扫描件或复印件为准，提供多个职称证明材料的，以最高职称材料为准，未提供的不得分。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拟派项目设计负责人.docx</w:t>
            </w:r>
          </w:p>
        </w:tc>
      </w:tr>
      <w:tr>
        <w:tc>
          <w:tcPr>
            <w:tcW w:type="dxa" w:w="831"/>
            <w:vMerge/>
          </w:tcPr>
          <w:p/>
        </w:tc>
        <w:tc>
          <w:tcPr>
            <w:tcW w:type="dxa" w:w="1661"/>
          </w:tcPr>
          <w:p>
            <w:pPr>
              <w:pStyle w:val="null3"/>
            </w:pPr>
            <w:r>
              <w:rPr>
                <w:rFonts w:ascii="仿宋_GB2312" w:hAnsi="仿宋_GB2312" w:cs="仿宋_GB2312" w:eastAsia="仿宋_GB2312"/>
              </w:rPr>
              <w:t>拟派项目设计负责人2</w:t>
            </w:r>
          </w:p>
        </w:tc>
        <w:tc>
          <w:tcPr>
            <w:tcW w:type="dxa" w:w="2492"/>
          </w:tcPr>
          <w:p>
            <w:pPr>
              <w:pStyle w:val="null3"/>
            </w:pPr>
            <w:r>
              <w:rPr>
                <w:rFonts w:ascii="仿宋_GB2312" w:hAnsi="仿宋_GB2312" w:cs="仿宋_GB2312" w:eastAsia="仿宋_GB2312"/>
              </w:rPr>
              <w:t>供应商提供自2023年07月01日至本项目响应文件递交截止时间前类似建筑工程设计业绩证明材料，每提供1项得3分。未提供的不得分。 评审依据：提供合同的复印件或扫描件，时间以合同签订时间为准。上述证明文件中须体现项目设计负责人的姓名。（拟派设计项目负责人业绩与企业业绩可重复计分）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拟派项目设计负责人.docx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除设计负责人外，每提供一名具有房建等相关专业中级或以上职称得3分，总分9分；未提供不得分（提供职称证复印件加盖公章）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项目部人员构成人员.docx</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供应商提供的整体服务的思路及要点需包含①核心需求把握度；②重难点深度分析及需求适配针对性，共2项内容，每项满分3分，总分6分。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设计服务方案</w:t>
            </w:r>
          </w:p>
        </w:tc>
        <w:tc>
          <w:tcPr>
            <w:tcW w:type="dxa" w:w="2492"/>
          </w:tcPr>
          <w:p>
            <w:pPr>
              <w:pStyle w:val="null3"/>
            </w:pPr>
            <w:r>
              <w:rPr>
                <w:rFonts w:ascii="仿宋_GB2312" w:hAnsi="仿宋_GB2312" w:cs="仿宋_GB2312" w:eastAsia="仿宋_GB2312"/>
              </w:rPr>
              <w:t>供应商提供的设计服务方案需包含①总体设计方案；②各个专业设计功能方案，共2项内容，每项满分3分，总分6分。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供应商提供的服务开展的流程及规范方案需包含①服务流程及实施及各环节衔接进度保障措施；②内外部沟通机制，共2项内容，每项满分3分，总分6分。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设计服务承诺及后续工作配合措施方案</w:t>
            </w:r>
          </w:p>
        </w:tc>
        <w:tc>
          <w:tcPr>
            <w:tcW w:type="dxa" w:w="2492"/>
          </w:tcPr>
          <w:p>
            <w:pPr>
              <w:pStyle w:val="null3"/>
            </w:pPr>
            <w:r>
              <w:rPr>
                <w:rFonts w:ascii="仿宋_GB2312" w:hAnsi="仿宋_GB2312" w:cs="仿宋_GB2312" w:eastAsia="仿宋_GB2312"/>
              </w:rPr>
              <w:t>供应商提供的设计服务承诺及后续工作配合措施方案需包含①修改深化服务承诺；②技术交底与配合方案；③技术咨询与验收配合方案，共3项内容，每项满分3分，总分9分。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设计服务质量的保障措施</w:t>
            </w:r>
          </w:p>
        </w:tc>
        <w:tc>
          <w:tcPr>
            <w:tcW w:type="dxa" w:w="2492"/>
          </w:tcPr>
          <w:p>
            <w:pPr>
              <w:pStyle w:val="null3"/>
            </w:pPr>
            <w:r>
              <w:rPr>
                <w:rFonts w:ascii="仿宋_GB2312" w:hAnsi="仿宋_GB2312" w:cs="仿宋_GB2312" w:eastAsia="仿宋_GB2312"/>
              </w:rPr>
              <w:t>供应商提供的设计服务质量保障措施方案需包含①核心环节质量管控措施；②整改机制；③后期设计优化配合服务体系，共3项内容，每项满分3分，总分9分。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供应商提供的服务开展的组织措施及制度方案需包含：组织机构方案及有关管理制度及应急保障能力，总分3分。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详见附件：磋商保证金缴纳证明.docx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详见附件：项目部人员构成人员.docx</w:t>
      </w:r>
    </w:p>
    <w:p>
      <w:pPr>
        <w:pStyle w:val="null3"/>
        <w:ind w:firstLine="960"/>
      </w:pPr>
      <w:r>
        <w:rPr>
          <w:rFonts w:ascii="仿宋_GB2312" w:hAnsi="仿宋_GB2312" w:cs="仿宋_GB2312" w:eastAsia="仿宋_GB2312"/>
        </w:rPr>
        <w:t>详见附件：拟派项目设计负责人.docx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