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46D22">
      <w:pPr>
        <w:keepLines w:val="0"/>
        <w:pageBreakBefore w:val="0"/>
        <w:widowControl w:val="0"/>
        <w:kinsoku/>
        <w:wordWrap w:val="0"/>
        <w:overflow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Times New Roman" w:hAnsi="Times New Roman" w:eastAsia="宋体" w:cs="Times New Roman"/>
          <w:b/>
          <w:bCs/>
          <w:snapToGrid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napToGrid/>
          <w:kern w:val="2"/>
          <w:sz w:val="32"/>
          <w:szCs w:val="28"/>
          <w:highlight w:val="none"/>
          <w:lang w:val="en-US" w:eastAsia="zh-CN" w:bidi="ar-SA"/>
        </w:rPr>
        <w:t>投标产品技术指标偏离表</w:t>
      </w:r>
    </w:p>
    <w:tbl>
      <w:tblPr>
        <w:tblStyle w:val="3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665"/>
        <w:gridCol w:w="661"/>
        <w:gridCol w:w="2835"/>
        <w:gridCol w:w="2880"/>
        <w:gridCol w:w="811"/>
      </w:tblGrid>
      <w:tr w14:paraId="24D30C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390" w:type="pct"/>
            <w:vAlign w:val="center"/>
          </w:tcPr>
          <w:p w14:paraId="37F51D69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default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390" w:type="pct"/>
            <w:vAlign w:val="center"/>
          </w:tcPr>
          <w:p w14:paraId="4335427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产品</w:t>
            </w:r>
          </w:p>
          <w:p w14:paraId="4C8AFBE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default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388" w:type="pct"/>
            <w:vAlign w:val="center"/>
          </w:tcPr>
          <w:p w14:paraId="084A82DF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default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参数标识</w:t>
            </w:r>
          </w:p>
        </w:tc>
        <w:tc>
          <w:tcPr>
            <w:tcW w:w="1664" w:type="pct"/>
            <w:vAlign w:val="center"/>
          </w:tcPr>
          <w:p w14:paraId="4087A0FA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</w:rPr>
              <w:t>招标文件产品的</w:t>
            </w:r>
          </w:p>
          <w:p w14:paraId="38AD0B9E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</w:rPr>
              <w:t>参数及要求</w:t>
            </w:r>
          </w:p>
        </w:tc>
        <w:tc>
          <w:tcPr>
            <w:tcW w:w="1690" w:type="pct"/>
            <w:vAlign w:val="center"/>
          </w:tcPr>
          <w:p w14:paraId="6DC15031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</w:rPr>
              <w:t>投标文件产品</w:t>
            </w:r>
          </w:p>
          <w:p w14:paraId="30B52B2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</w:rPr>
              <w:t>的参数</w:t>
            </w:r>
          </w:p>
        </w:tc>
        <w:tc>
          <w:tcPr>
            <w:tcW w:w="476" w:type="pct"/>
            <w:vAlign w:val="center"/>
          </w:tcPr>
          <w:p w14:paraId="77D31EA1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  <w:t>证明资料所在页码</w:t>
            </w:r>
          </w:p>
        </w:tc>
      </w:tr>
      <w:tr w14:paraId="0B1589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0" w:type="pct"/>
            <w:vMerge w:val="restart"/>
            <w:vAlign w:val="center"/>
          </w:tcPr>
          <w:p w14:paraId="440F614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90" w:type="pct"/>
            <w:vMerge w:val="restart"/>
          </w:tcPr>
          <w:p w14:paraId="1764146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88" w:type="pct"/>
            <w:vAlign w:val="center"/>
          </w:tcPr>
          <w:p w14:paraId="01D45682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64" w:type="pct"/>
            <w:vAlign w:val="center"/>
          </w:tcPr>
          <w:p w14:paraId="0445A1DF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0" w:type="pct"/>
          </w:tcPr>
          <w:p w14:paraId="50F4C3D8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76" w:type="pct"/>
          </w:tcPr>
          <w:p w14:paraId="0643D8D9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258F57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0" w:type="pct"/>
            <w:vMerge w:val="continue"/>
            <w:tcBorders/>
            <w:vAlign w:val="center"/>
          </w:tcPr>
          <w:p w14:paraId="63EF383F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90" w:type="pct"/>
            <w:vMerge w:val="continue"/>
          </w:tcPr>
          <w:p w14:paraId="5E6F828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88" w:type="pct"/>
            <w:vAlign w:val="center"/>
          </w:tcPr>
          <w:p w14:paraId="2DEAD608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64" w:type="pct"/>
            <w:vAlign w:val="center"/>
          </w:tcPr>
          <w:p w14:paraId="43A6AC8A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0" w:type="pct"/>
          </w:tcPr>
          <w:p w14:paraId="6938D5D1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76" w:type="pct"/>
          </w:tcPr>
          <w:p w14:paraId="5EC7590C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5B0EB2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0" w:type="pct"/>
            <w:vMerge w:val="continue"/>
            <w:tcBorders>
              <w:bottom w:val="single" w:color="auto" w:sz="4" w:space="0"/>
            </w:tcBorders>
            <w:vAlign w:val="center"/>
          </w:tcPr>
          <w:p w14:paraId="3E2F7E7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90" w:type="pct"/>
            <w:vMerge w:val="continue"/>
            <w:tcBorders>
              <w:bottom w:val="single" w:color="auto" w:sz="4" w:space="0"/>
            </w:tcBorders>
          </w:tcPr>
          <w:p w14:paraId="4473265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88" w:type="pct"/>
            <w:vAlign w:val="center"/>
          </w:tcPr>
          <w:p w14:paraId="67DA430C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64" w:type="pct"/>
            <w:vAlign w:val="center"/>
          </w:tcPr>
          <w:p w14:paraId="1422DE0F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0" w:type="pct"/>
          </w:tcPr>
          <w:p w14:paraId="47D40FED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76" w:type="pct"/>
          </w:tcPr>
          <w:p w14:paraId="27F4E76D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738F12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0" w:type="pct"/>
            <w:vMerge w:val="restart"/>
            <w:tcBorders>
              <w:top w:val="single" w:color="auto" w:sz="4" w:space="0"/>
            </w:tcBorders>
            <w:vAlign w:val="center"/>
          </w:tcPr>
          <w:p w14:paraId="31C5291D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90" w:type="pct"/>
            <w:vMerge w:val="restart"/>
            <w:tcBorders>
              <w:top w:val="single" w:color="auto" w:sz="4" w:space="0"/>
            </w:tcBorders>
          </w:tcPr>
          <w:p w14:paraId="2354E7A3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88" w:type="pct"/>
          </w:tcPr>
          <w:p w14:paraId="7F467A69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64" w:type="pct"/>
          </w:tcPr>
          <w:p w14:paraId="0773CA9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0" w:type="pct"/>
          </w:tcPr>
          <w:p w14:paraId="1DBDAC53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76" w:type="pct"/>
          </w:tcPr>
          <w:p w14:paraId="6C1802DB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42AC2A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0" w:type="pct"/>
            <w:vMerge w:val="continue"/>
            <w:tcBorders/>
            <w:vAlign w:val="center"/>
          </w:tcPr>
          <w:p w14:paraId="64312BCA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90" w:type="pct"/>
            <w:vMerge w:val="continue"/>
          </w:tcPr>
          <w:p w14:paraId="6F7010B5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88" w:type="pct"/>
          </w:tcPr>
          <w:p w14:paraId="200B94E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64" w:type="pct"/>
          </w:tcPr>
          <w:p w14:paraId="38462EF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0" w:type="pct"/>
          </w:tcPr>
          <w:p w14:paraId="37210C2A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76" w:type="pct"/>
          </w:tcPr>
          <w:p w14:paraId="006A280E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44A5B5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0" w:type="pct"/>
            <w:vMerge w:val="continue"/>
            <w:tcBorders>
              <w:bottom w:val="single" w:color="auto" w:sz="4" w:space="0"/>
            </w:tcBorders>
            <w:vAlign w:val="center"/>
          </w:tcPr>
          <w:p w14:paraId="328A7A05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90" w:type="pct"/>
            <w:vMerge w:val="continue"/>
            <w:tcBorders>
              <w:bottom w:val="single" w:color="auto" w:sz="4" w:space="0"/>
            </w:tcBorders>
          </w:tcPr>
          <w:p w14:paraId="1C1D589E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88" w:type="pct"/>
          </w:tcPr>
          <w:p w14:paraId="6A166179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64" w:type="pct"/>
          </w:tcPr>
          <w:p w14:paraId="1315804B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0" w:type="pct"/>
          </w:tcPr>
          <w:p w14:paraId="3FA6EB48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76" w:type="pct"/>
          </w:tcPr>
          <w:p w14:paraId="58280752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0FBDF5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0" w:type="pct"/>
            <w:vMerge w:val="restart"/>
            <w:tcBorders>
              <w:top w:val="single" w:color="auto" w:sz="4" w:space="0"/>
            </w:tcBorders>
            <w:vAlign w:val="center"/>
          </w:tcPr>
          <w:p w14:paraId="2F1CB5F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390" w:type="pct"/>
            <w:vMerge w:val="restart"/>
            <w:tcBorders>
              <w:top w:val="single" w:color="auto" w:sz="4" w:space="0"/>
            </w:tcBorders>
          </w:tcPr>
          <w:p w14:paraId="4C2F7F4F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88" w:type="pct"/>
          </w:tcPr>
          <w:p w14:paraId="4E41A519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64" w:type="pct"/>
          </w:tcPr>
          <w:p w14:paraId="3EF36282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0" w:type="pct"/>
          </w:tcPr>
          <w:p w14:paraId="23DE02B3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76" w:type="pct"/>
          </w:tcPr>
          <w:p w14:paraId="33395799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1DBD8B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0" w:type="pct"/>
            <w:vMerge w:val="continue"/>
            <w:tcBorders/>
          </w:tcPr>
          <w:p w14:paraId="0F5D49E9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90" w:type="pct"/>
            <w:vMerge w:val="continue"/>
          </w:tcPr>
          <w:p w14:paraId="5D368998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88" w:type="pct"/>
          </w:tcPr>
          <w:p w14:paraId="1B00453E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64" w:type="pct"/>
          </w:tcPr>
          <w:p w14:paraId="55753DC8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0" w:type="pct"/>
          </w:tcPr>
          <w:p w14:paraId="734C1A5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76" w:type="pct"/>
          </w:tcPr>
          <w:p w14:paraId="2AA2D0D1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4C9BA1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0" w:type="pct"/>
            <w:vMerge w:val="continue"/>
            <w:tcBorders/>
          </w:tcPr>
          <w:p w14:paraId="7040C4A9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90" w:type="pct"/>
            <w:vMerge w:val="continue"/>
          </w:tcPr>
          <w:p w14:paraId="1015E882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88" w:type="pct"/>
          </w:tcPr>
          <w:p w14:paraId="3B423588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64" w:type="pct"/>
          </w:tcPr>
          <w:p w14:paraId="60DD7C3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0" w:type="pct"/>
          </w:tcPr>
          <w:p w14:paraId="3126363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76" w:type="pct"/>
          </w:tcPr>
          <w:p w14:paraId="72F1076C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2A7506C">
      <w:pPr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autoSpaceDE/>
        <w:autoSpaceDN/>
        <w:bidi w:val="0"/>
        <w:adjustRightInd w:val="0"/>
        <w:snapToGrid w:val="0"/>
        <w:spacing w:before="156" w:beforeLines="50" w:line="400" w:lineRule="exact"/>
        <w:ind w:leftChars="0"/>
        <w:rPr>
          <w:rFonts w:ascii="楷体_GB2312" w:hAnsi="宋体" w:eastAsia="楷体_GB2312" w:cs="仿宋_GB2312"/>
          <w:bCs/>
          <w:snapToGrid/>
          <w:color w:val="FF0000"/>
          <w:kern w:val="0"/>
          <w:sz w:val="22"/>
          <w:szCs w:val="32"/>
          <w:highlight w:val="none"/>
        </w:rPr>
      </w:pP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  <w:t>注：</w:t>
      </w:r>
    </w:p>
    <w:p w14:paraId="4FAA68A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</w:tabs>
        <w:kinsoku/>
        <w:wordWrap w:val="0"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Chars="0"/>
        <w:textAlignment w:val="auto"/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</w:pP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1.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  <w:t>投标人应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按第三章采购清单的各产品功能及技术参数栏中的全部内容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  <w:t>在“投标文件产品的参数”栏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逐条并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  <w:t>如实填写投标产品的参数和性能。</w:t>
      </w:r>
    </w:p>
    <w:p w14:paraId="0F9EEE7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</w:tabs>
        <w:kinsoku/>
        <w:wordWrap w:val="0"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Chars="0"/>
        <w:textAlignment w:val="auto"/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</w:pPr>
      <w:r>
        <w:rPr>
          <w:rFonts w:hint="eastAsia" w:ascii="楷体_GB2312" w:hAnsi="宋体" w:eastAsia="楷体_GB2312" w:cs="仿宋_GB2312"/>
          <w:snapToGrid/>
          <w:kern w:val="0"/>
          <w:sz w:val="22"/>
          <w:szCs w:val="24"/>
          <w:highlight w:val="none"/>
          <w:lang w:val="en-US" w:eastAsia="zh-CN"/>
        </w:rPr>
        <w:t>2.</w:t>
      </w:r>
      <w:r>
        <w:rPr>
          <w:rFonts w:hint="eastAsia" w:ascii="楷体_GB2312" w:hAnsi="宋体" w:eastAsia="楷体_GB2312" w:cs="仿宋_GB2312"/>
          <w:snapToGrid/>
          <w:kern w:val="0"/>
          <w:sz w:val="22"/>
          <w:szCs w:val="24"/>
          <w:highlight w:val="none"/>
        </w:rPr>
        <w:t>按评审标准后附所需的相关资料</w:t>
      </w:r>
      <w:r>
        <w:rPr>
          <w:rFonts w:hint="eastAsia" w:ascii="楷体_GB2312" w:hAnsi="宋体" w:eastAsia="楷体_GB2312" w:cs="仿宋_GB2312"/>
          <w:snapToGrid/>
          <w:kern w:val="0"/>
          <w:sz w:val="22"/>
          <w:szCs w:val="24"/>
          <w:highlight w:val="none"/>
          <w:lang w:eastAsia="zh-CN"/>
        </w:rPr>
        <w:t>，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在“证明资料所在页码”栏需填</w:t>
      </w:r>
      <w:bookmarkStart w:id="0" w:name="_GoBack"/>
      <w:bookmarkEnd w:id="0"/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写具体的页码，同时在“参数标识”栏填写参数标识（★/▲），以便评标委员会核对。</w:t>
      </w:r>
    </w:p>
    <w:p w14:paraId="225D4408">
      <w:pP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</w:pP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3.本附件需编制页码上传，便于评标委员会评审。</w:t>
      </w:r>
    </w:p>
    <w:p w14:paraId="0820289A">
      <w:pPr>
        <w:rPr>
          <w:rFonts w:hint="default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</w:pP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4.本表可横置填写，空间不足自行扩展。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21414D76"/>
    <w:rsid w:val="3FF9428E"/>
    <w:rsid w:val="5481728A"/>
    <w:rsid w:val="67843898"/>
    <w:rsid w:val="6DA647AF"/>
    <w:rsid w:val="70D65AF4"/>
    <w:rsid w:val="7B8A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219</Characters>
  <Lines>0</Lines>
  <Paragraphs>0</Paragraphs>
  <TotalTime>2</TotalTime>
  <ScaleCrop>false</ScaleCrop>
  <LinksUpToDate>false</LinksUpToDate>
  <CharactersWithSpaces>219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2026-08-04T06:16:06Z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