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CAE480">
      <w:pPr>
        <w:keepNext w:val="0"/>
        <w:keepLines w:val="0"/>
        <w:pageBreakBefore w:val="0"/>
        <w:widowControl w:val="0"/>
        <w:kinsoku/>
        <w:wordWrap/>
        <w:overflowPunct/>
        <w:topLinePunct w:val="0"/>
        <w:autoSpaceDE/>
        <w:autoSpaceDN/>
        <w:bidi w:val="0"/>
        <w:adjustRightInd/>
        <w:snapToGrid/>
        <w:spacing w:line="360" w:lineRule="auto"/>
        <w:ind w:firstLine="420" w:firstLineChars="0"/>
        <w:jc w:val="center"/>
        <w:textAlignment w:val="auto"/>
        <w:rPr>
          <w:rFonts w:hint="eastAsia"/>
          <w:sz w:val="30"/>
          <w:szCs w:val="30"/>
        </w:rPr>
      </w:pPr>
      <w:r>
        <w:rPr>
          <w:rFonts w:hint="eastAsia"/>
          <w:sz w:val="30"/>
          <w:szCs w:val="30"/>
        </w:rPr>
        <w:t>拟签订的合同文本</w:t>
      </w:r>
    </w:p>
    <w:p w14:paraId="0031E7E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注：本合同仅供参考，采购人和成交单位可根据项目具体情况另行商议：签订合同。</w:t>
      </w:r>
    </w:p>
    <w:p w14:paraId="56366BD2">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 xml:space="preserve"> </w:t>
      </w:r>
    </w:p>
    <w:p w14:paraId="53E6F67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甲方：</w:t>
      </w:r>
      <w:r>
        <w:rPr>
          <w:rFonts w:hint="eastAsia"/>
          <w:u w:val="single"/>
        </w:rPr>
        <w:t xml:space="preserve">          </w:t>
      </w:r>
    </w:p>
    <w:p w14:paraId="1731CF6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乙方：</w:t>
      </w:r>
      <w:r>
        <w:rPr>
          <w:rFonts w:hint="eastAsia"/>
          <w:u w:val="single"/>
        </w:rPr>
        <w:t xml:space="preserve">          </w:t>
      </w:r>
    </w:p>
    <w:p w14:paraId="399A9F9A">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u w:val="single"/>
        </w:rPr>
        <w:t xml:space="preserve">          </w:t>
      </w:r>
      <w:r>
        <w:rPr>
          <w:rFonts w:hint="eastAsia"/>
        </w:rPr>
        <w:t>（项目名称），按照政府采购程序，采用</w:t>
      </w:r>
      <w:r>
        <w:rPr>
          <w:rFonts w:hint="eastAsia"/>
          <w:lang w:val="en-US" w:eastAsia="zh-CN"/>
        </w:rPr>
        <w:t>竞争性磋商</w:t>
      </w:r>
      <w:r>
        <w:rPr>
          <w:rFonts w:hint="eastAsia"/>
        </w:rPr>
        <w:t>的方式，选定</w:t>
      </w:r>
      <w:r>
        <w:rPr>
          <w:rFonts w:hint="eastAsia"/>
          <w:u w:val="single"/>
        </w:rPr>
        <w:t xml:space="preserve">          </w:t>
      </w:r>
      <w:r>
        <w:rPr>
          <w:rFonts w:hint="eastAsia"/>
        </w:rPr>
        <w:t>公司（以下简称乙方）为中标供应商。依据国家《中华人民共和国民法典》、《政府采购法》及招标文件和乙方的投标文件，经甲、乙双方协商，达成如下合同条款。</w:t>
      </w:r>
    </w:p>
    <w:p w14:paraId="345733D4">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一、项目概况</w:t>
      </w:r>
    </w:p>
    <w:p w14:paraId="075ED311">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u w:val="single"/>
        </w:rPr>
      </w:pPr>
      <w:r>
        <w:rPr>
          <w:rFonts w:hint="eastAsia"/>
        </w:rPr>
        <w:t>1.项目名称：</w:t>
      </w:r>
      <w:r>
        <w:rPr>
          <w:rFonts w:hint="eastAsia"/>
          <w:u w:val="single"/>
        </w:rPr>
        <w:t>白水县2025年土地整治项目一期补充耕地质量鉴定</w:t>
      </w:r>
    </w:p>
    <w:p w14:paraId="5C783CBE">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2.项目地点：______________________________________________</w:t>
      </w:r>
    </w:p>
    <w:p w14:paraId="438DEFB8">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二、合同</w:t>
      </w:r>
      <w:r>
        <w:rPr>
          <w:rFonts w:hint="eastAsia"/>
          <w:lang w:val="en-US" w:eastAsia="zh-CN"/>
        </w:rPr>
        <w:t>服务期：</w:t>
      </w:r>
      <w:r>
        <w:rPr>
          <w:rFonts w:hint="eastAsia"/>
        </w:rPr>
        <w:t>合同签订后 90 ⽇历天。</w:t>
      </w:r>
    </w:p>
    <w:p w14:paraId="33E1B36C">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三、合同价款</w:t>
      </w:r>
    </w:p>
    <w:p w14:paraId="1738A8D7">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1.合同价款金额：人民币（大写）_________ (¥______元)</w:t>
      </w:r>
    </w:p>
    <w:p w14:paraId="7F8A79D0">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2.合同价不受市场价格变化因素的影响。</w:t>
      </w:r>
    </w:p>
    <w:p w14:paraId="7E3FC7FE">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3.付款方式：合同签订30天内支付合同总金额的30%；剩余70%在乙方出具最终版正式报告后90天内支付完成(以上付款节点均以财政资金到位为前提)。</w:t>
      </w:r>
    </w:p>
    <w:p w14:paraId="34E523F3">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四、承诺</w:t>
      </w:r>
    </w:p>
    <w:p w14:paraId="6EE2956E">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1.甲方承诺按照法律规定履行项目审批手续，并按照合同约定的期限和方式支付合同价款。</w:t>
      </w:r>
    </w:p>
    <w:p w14:paraId="4C0427A9">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2.乙方承诺按照法律法规和技术标准规定及合同约定提供服务。　</w:t>
      </w:r>
    </w:p>
    <w:p w14:paraId="209E58FB">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3.乙方未征得甲方同意和谅解而单方面延迟提供服务，将按违约终止合。</w:t>
      </w:r>
    </w:p>
    <w:p w14:paraId="4FA43E65">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4.乙方遇到可能妨碍按时提供服务的情况，应当及时以书面形式通知甲方，说明原由、拖延的期限等；甲方、招标代理机构在收到通知后，尽快进行服务并确定是否通过修改合同，酌情延长期限或者通过协商加收误期赔偿金。</w:t>
      </w:r>
    </w:p>
    <w:p w14:paraId="652D7B02">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5.乙方严格根据有关主要工作内容、成果的规定要求，保证规划编制结果准确可靠。</w:t>
      </w:r>
    </w:p>
    <w:p w14:paraId="1830B6D3">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 xml:space="preserve">五、双方义务  </w:t>
      </w:r>
    </w:p>
    <w:p w14:paraId="0999C3A7">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5.1甲方的义务</w:t>
      </w:r>
    </w:p>
    <w:p w14:paraId="15C1A893">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 xml:space="preserve">5.1.1本合同签订生效后，甲方按规定的时间内向乙方提供调查登记工作所依据的基础资料，并对所提供资料的真实性、完整性、有效性负责。 </w:t>
      </w:r>
    </w:p>
    <w:p w14:paraId="582C4928">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 xml:space="preserve">5.1.2 甲方应按本合同约定的金额、时间、方式向乙方支付费用。 </w:t>
      </w:r>
    </w:p>
    <w:p w14:paraId="7FE30339">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 xml:space="preserve">5.1.3甲方应为乙方现场工作与项目所在地有关部门进行协调，并负责和项目所在地有关部门联络及相关的协调工作。 </w:t>
      </w:r>
    </w:p>
    <w:p w14:paraId="716757E7">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 xml:space="preserve">5.2乙方的义务 </w:t>
      </w:r>
    </w:p>
    <w:p w14:paraId="1D285D7B">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 xml:space="preserve">5.2.1本合同签订生效后，乙方按规定组织调查登记工作人员进场工作。 </w:t>
      </w:r>
    </w:p>
    <w:p w14:paraId="42F131A3">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 xml:space="preserve">5.2.2按照本合同约定的标准和要求，乙方在规定时间内完成调查登记等工作，并按要求向甲交付工作成果。 </w:t>
      </w:r>
    </w:p>
    <w:p w14:paraId="31E1CAAF">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5.2.3按照有关部门的要求报告工作进度，配合验收工作，针对工作成果进行解释说明，并对成果的真实性、准确性、完整性负责。</w:t>
      </w:r>
    </w:p>
    <w:p w14:paraId="069C5453">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 xml:space="preserve">5.2.4调查登记工作所需的人员，设备及全部支出由乙方自行承担，工作过程中乙方及其工作人员给其他方或自身造成财产损失或人身伤害，由乙方自行承担责任。 </w:t>
      </w:r>
    </w:p>
    <w:p w14:paraId="180E5FB9">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5.2.5按照相关规定妥善保管项目档案，确保相关资料的真实性、完整性和连续性，并按要求向甲方进行移交。</w:t>
      </w:r>
    </w:p>
    <w:p w14:paraId="12961D71">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六、履行合同</w:t>
      </w:r>
    </w:p>
    <w:p w14:paraId="6303DB71">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1、乙方与甲方签订合同后，合同双方应严格执行合同条款，履行合同规定的义务，保证合同的顺利完成。</w:t>
      </w:r>
    </w:p>
    <w:p w14:paraId="624E99E9">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2、在合同履行过程中，如发生合同纠纷，合同双方应按照《合同法》的有关规定进行处理。</w:t>
      </w:r>
    </w:p>
    <w:p w14:paraId="519E7E8A">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bookmarkStart w:id="0" w:name="_GoBack"/>
      <w:bookmarkEnd w:id="0"/>
      <w:r>
        <w:rPr>
          <w:rFonts w:hint="eastAsia"/>
        </w:rPr>
        <w:t>七、验收</w:t>
      </w:r>
    </w:p>
    <w:p w14:paraId="36625F00">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1、项⽬交付后由采购⼈依据《政府采购需求管理办法》（财库〔2021〕22 号）制定的合同订⽴安排与合同管理安排中有关履约验收的内容，以及招标⽂件、投标⽂件组织验收。</w:t>
      </w:r>
    </w:p>
    <w:p w14:paraId="19ABBB34">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2、供应商承诺完全达到国家有关部⻔验收标准，并全部通过验收为交付使⽤的基本条件，验收过程中的⼀切费⽤由供应商承担。</w:t>
      </w:r>
    </w:p>
    <w:p w14:paraId="729FA211">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3、验收依据</w:t>
      </w:r>
    </w:p>
    <w:p w14:paraId="26976AD8">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 xml:space="preserve">合同⽂本及合同补充⽂件（条款）、招标⽂件、响应（投标）⽂件等相关资料。 </w:t>
      </w:r>
    </w:p>
    <w:p w14:paraId="4E54E96E">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 xml:space="preserve"> 八、违约责任</w:t>
      </w:r>
    </w:p>
    <w:p w14:paraId="0B5B12BB">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1、按照《中华人民共和国民法典》中的相关条款执行。</w:t>
      </w:r>
    </w:p>
    <w:p w14:paraId="1440BC1F">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2、未按合同要求提供规划编制资料的，采购单位会同有关单位，有权终止合同和对中标方违约进行追究。</w:t>
      </w:r>
    </w:p>
    <w:p w14:paraId="0D0354D9">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3、合同争议的解决：合同执行中发生争议的，当事人双方应协商解决，协商达不成一致时，可向当地人民法院提请诉讼。</w:t>
      </w:r>
    </w:p>
    <w:p w14:paraId="7424B424">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九、合同生效及其他</w:t>
      </w:r>
    </w:p>
    <w:p w14:paraId="524169DF">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1.本合同双方签字盖章即生效，一式肆份，甲方贰份，乙方贰份。</w:t>
      </w:r>
    </w:p>
    <w:p w14:paraId="0775B753">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 xml:space="preserve">2.由于不可抗力因素致使合同无法履行时，双方应及时协商解决。 </w:t>
      </w:r>
    </w:p>
    <w:p w14:paraId="4ECB35FD">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3.双方可认的来往传真、电报、会议纪要等，均为合同的组成部分，与本合同具有同等法律效力。</w:t>
      </w:r>
    </w:p>
    <w:p w14:paraId="2E68284D">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4.未尽事宜，经双方协商一致，签订补充协议，补充协议与本合同具有同等效力。</w:t>
      </w:r>
    </w:p>
    <w:p w14:paraId="5599F679">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 xml:space="preserve"> </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0"/>
        <w:gridCol w:w="4260"/>
      </w:tblGrid>
      <w:tr w14:paraId="0C769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trPr>
        <w:tc>
          <w:tcPr>
            <w:tcW w:w="4260" w:type="dxa"/>
            <w:noWrap w:val="0"/>
            <w:vAlign w:val="top"/>
          </w:tcPr>
          <w:p w14:paraId="2EDC0238">
            <w:pPr>
              <w:rPr>
                <w:rFonts w:hint="eastAsia" w:ascii="宋体" w:hAnsi="宋体" w:eastAsia="宋体" w:cs="宋体"/>
                <w:color w:val="000000"/>
                <w:sz w:val="24"/>
                <w:szCs w:val="24"/>
              </w:rPr>
            </w:pPr>
            <w:r>
              <w:rPr>
                <w:rFonts w:hint="eastAsia" w:ascii="宋体" w:hAnsi="宋体" w:eastAsia="宋体" w:cs="宋体"/>
                <w:color w:val="000000"/>
                <w:sz w:val="24"/>
                <w:szCs w:val="24"/>
              </w:rPr>
              <w:br w:type="page"/>
            </w:r>
            <w:r>
              <w:rPr>
                <w:rFonts w:hint="eastAsia" w:ascii="宋体" w:hAnsi="宋体" w:eastAsia="宋体" w:cs="宋体"/>
                <w:color w:val="000000"/>
                <w:sz w:val="24"/>
                <w:szCs w:val="24"/>
              </w:rPr>
              <w:t>甲    方：（盖章）</w:t>
            </w:r>
          </w:p>
        </w:tc>
        <w:tc>
          <w:tcPr>
            <w:tcW w:w="4260" w:type="dxa"/>
            <w:noWrap w:val="0"/>
            <w:vAlign w:val="top"/>
          </w:tcPr>
          <w:p w14:paraId="26935B00">
            <w:pPr>
              <w:pStyle w:val="5"/>
              <w:spacing w:line="520" w:lineRule="exact"/>
              <w:ind w:firstLine="0" w:firstLineChars="0"/>
              <w:rPr>
                <w:rFonts w:hint="eastAsia" w:ascii="宋体" w:hAnsi="宋体" w:eastAsia="宋体" w:cs="宋体"/>
                <w:color w:val="000000"/>
                <w:sz w:val="24"/>
                <w:szCs w:val="24"/>
              </w:rPr>
            </w:pPr>
            <w:r>
              <w:rPr>
                <w:rFonts w:hint="eastAsia" w:ascii="宋体" w:hAnsi="宋体" w:eastAsia="宋体" w:cs="宋体"/>
                <w:color w:val="000000"/>
                <w:sz w:val="24"/>
                <w:szCs w:val="24"/>
              </w:rPr>
              <w:t>乙    方：（盖章）</w:t>
            </w:r>
          </w:p>
        </w:tc>
      </w:tr>
      <w:tr w14:paraId="095D5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4260" w:type="dxa"/>
            <w:noWrap w:val="0"/>
            <w:vAlign w:val="top"/>
          </w:tcPr>
          <w:p w14:paraId="58FB68E6">
            <w:pPr>
              <w:pStyle w:val="5"/>
              <w:spacing w:line="520" w:lineRule="exact"/>
              <w:ind w:firstLine="0" w:firstLineChars="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法定代表人（授权代表）： </w:t>
            </w:r>
          </w:p>
        </w:tc>
        <w:tc>
          <w:tcPr>
            <w:tcW w:w="4260" w:type="dxa"/>
            <w:noWrap w:val="0"/>
            <w:vAlign w:val="top"/>
          </w:tcPr>
          <w:p w14:paraId="023909B3">
            <w:pPr>
              <w:pStyle w:val="5"/>
              <w:spacing w:line="520" w:lineRule="exact"/>
              <w:ind w:firstLine="0" w:firstLineChars="0"/>
              <w:rPr>
                <w:rFonts w:hint="eastAsia" w:ascii="宋体" w:hAnsi="宋体" w:eastAsia="宋体" w:cs="宋体"/>
                <w:color w:val="000000"/>
                <w:sz w:val="24"/>
                <w:szCs w:val="24"/>
              </w:rPr>
            </w:pPr>
            <w:r>
              <w:rPr>
                <w:rFonts w:hint="eastAsia" w:ascii="宋体" w:hAnsi="宋体" w:eastAsia="宋体" w:cs="宋体"/>
                <w:color w:val="000000"/>
                <w:sz w:val="24"/>
                <w:szCs w:val="24"/>
              </w:rPr>
              <w:t>法定代表人（授权代表）：</w:t>
            </w:r>
          </w:p>
        </w:tc>
      </w:tr>
      <w:tr w14:paraId="621F9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trPr>
        <w:tc>
          <w:tcPr>
            <w:tcW w:w="4260" w:type="dxa"/>
            <w:noWrap w:val="0"/>
            <w:vAlign w:val="top"/>
          </w:tcPr>
          <w:p w14:paraId="4FF8DBF1">
            <w:pPr>
              <w:pStyle w:val="5"/>
              <w:spacing w:line="520" w:lineRule="exact"/>
              <w:ind w:firstLine="0" w:firstLineChars="0"/>
              <w:rPr>
                <w:rFonts w:hint="eastAsia" w:ascii="宋体" w:hAnsi="宋体" w:eastAsia="宋体" w:cs="宋体"/>
                <w:color w:val="000000"/>
                <w:sz w:val="24"/>
                <w:szCs w:val="24"/>
              </w:rPr>
            </w:pPr>
            <w:r>
              <w:rPr>
                <w:rFonts w:hint="eastAsia" w:ascii="宋体" w:hAnsi="宋体" w:eastAsia="宋体" w:cs="宋体"/>
                <w:color w:val="000000"/>
                <w:sz w:val="24"/>
                <w:szCs w:val="24"/>
              </w:rPr>
              <w:t>地    址：</w:t>
            </w:r>
          </w:p>
        </w:tc>
        <w:tc>
          <w:tcPr>
            <w:tcW w:w="4260" w:type="dxa"/>
            <w:noWrap w:val="0"/>
            <w:vAlign w:val="top"/>
          </w:tcPr>
          <w:p w14:paraId="3B7D6292">
            <w:pPr>
              <w:pStyle w:val="5"/>
              <w:spacing w:line="520" w:lineRule="exact"/>
              <w:ind w:firstLine="0" w:firstLineChars="0"/>
              <w:rPr>
                <w:rFonts w:hint="eastAsia" w:ascii="宋体" w:hAnsi="宋体" w:eastAsia="宋体" w:cs="宋体"/>
                <w:color w:val="000000"/>
                <w:sz w:val="24"/>
                <w:szCs w:val="24"/>
              </w:rPr>
            </w:pPr>
            <w:r>
              <w:rPr>
                <w:rFonts w:hint="eastAsia" w:ascii="宋体" w:hAnsi="宋体" w:eastAsia="宋体" w:cs="宋体"/>
                <w:color w:val="000000"/>
                <w:sz w:val="24"/>
                <w:szCs w:val="24"/>
              </w:rPr>
              <w:t>地    址：</w:t>
            </w:r>
          </w:p>
        </w:tc>
      </w:tr>
      <w:tr w14:paraId="6005E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4260" w:type="dxa"/>
            <w:noWrap w:val="0"/>
            <w:vAlign w:val="top"/>
          </w:tcPr>
          <w:p w14:paraId="6BFF7D83">
            <w:pPr>
              <w:pStyle w:val="5"/>
              <w:spacing w:line="520" w:lineRule="exact"/>
              <w:ind w:firstLine="0" w:firstLineChars="0"/>
              <w:rPr>
                <w:rFonts w:hint="eastAsia" w:ascii="宋体" w:hAnsi="宋体" w:eastAsia="宋体" w:cs="宋体"/>
                <w:color w:val="000000"/>
                <w:sz w:val="24"/>
                <w:szCs w:val="24"/>
              </w:rPr>
            </w:pPr>
            <w:r>
              <w:rPr>
                <w:rFonts w:hint="eastAsia" w:ascii="宋体" w:hAnsi="宋体" w:eastAsia="宋体" w:cs="宋体"/>
                <w:color w:val="000000"/>
                <w:sz w:val="24"/>
                <w:szCs w:val="24"/>
              </w:rPr>
              <w:t>开户银行：</w:t>
            </w:r>
          </w:p>
        </w:tc>
        <w:tc>
          <w:tcPr>
            <w:tcW w:w="4260" w:type="dxa"/>
            <w:noWrap w:val="0"/>
            <w:vAlign w:val="top"/>
          </w:tcPr>
          <w:p w14:paraId="401163A2">
            <w:pPr>
              <w:spacing w:line="264" w:lineRule="auto"/>
              <w:rPr>
                <w:rFonts w:hint="eastAsia" w:ascii="宋体" w:hAnsi="宋体" w:eastAsia="宋体" w:cs="宋体"/>
                <w:color w:val="000000"/>
                <w:sz w:val="24"/>
                <w:szCs w:val="24"/>
              </w:rPr>
            </w:pPr>
            <w:r>
              <w:rPr>
                <w:rFonts w:hint="eastAsia" w:ascii="宋体" w:hAnsi="宋体" w:eastAsia="宋体" w:cs="宋体"/>
                <w:color w:val="000000"/>
                <w:sz w:val="24"/>
                <w:szCs w:val="24"/>
              </w:rPr>
              <w:t>开户银行：</w:t>
            </w:r>
          </w:p>
        </w:tc>
      </w:tr>
      <w:tr w14:paraId="76751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4260" w:type="dxa"/>
            <w:noWrap w:val="0"/>
            <w:vAlign w:val="top"/>
          </w:tcPr>
          <w:p w14:paraId="21935F65">
            <w:pPr>
              <w:pStyle w:val="5"/>
              <w:spacing w:line="520" w:lineRule="exact"/>
              <w:ind w:firstLine="0" w:firstLineChars="0"/>
              <w:rPr>
                <w:rFonts w:hint="eastAsia" w:ascii="宋体" w:hAnsi="宋体" w:eastAsia="宋体" w:cs="宋体"/>
                <w:color w:val="000000"/>
                <w:sz w:val="24"/>
                <w:szCs w:val="24"/>
              </w:rPr>
            </w:pPr>
            <w:r>
              <w:rPr>
                <w:rFonts w:hint="eastAsia" w:ascii="宋体" w:hAnsi="宋体" w:eastAsia="宋体" w:cs="宋体"/>
                <w:color w:val="000000"/>
                <w:sz w:val="24"/>
                <w:szCs w:val="24"/>
              </w:rPr>
              <w:t>账    号：</w:t>
            </w:r>
          </w:p>
        </w:tc>
        <w:tc>
          <w:tcPr>
            <w:tcW w:w="4260" w:type="dxa"/>
            <w:noWrap w:val="0"/>
            <w:vAlign w:val="top"/>
          </w:tcPr>
          <w:p w14:paraId="382AF18D">
            <w:pPr>
              <w:spacing w:line="264" w:lineRule="auto"/>
              <w:rPr>
                <w:rFonts w:hint="eastAsia" w:ascii="宋体" w:hAnsi="宋体" w:eastAsia="宋体" w:cs="宋体"/>
                <w:color w:val="000000"/>
                <w:sz w:val="24"/>
                <w:szCs w:val="24"/>
              </w:rPr>
            </w:pPr>
            <w:r>
              <w:rPr>
                <w:rFonts w:hint="eastAsia" w:ascii="宋体" w:hAnsi="宋体" w:eastAsia="宋体" w:cs="宋体"/>
                <w:color w:val="000000"/>
                <w:sz w:val="24"/>
                <w:szCs w:val="24"/>
              </w:rPr>
              <w:t>账    号：</w:t>
            </w:r>
          </w:p>
        </w:tc>
      </w:tr>
      <w:tr w14:paraId="3E57D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4260" w:type="dxa"/>
            <w:noWrap w:val="0"/>
            <w:vAlign w:val="top"/>
          </w:tcPr>
          <w:p w14:paraId="6AA369B1">
            <w:pPr>
              <w:pStyle w:val="5"/>
              <w:spacing w:line="520" w:lineRule="exact"/>
              <w:ind w:firstLine="0" w:firstLineChars="0"/>
              <w:rPr>
                <w:rFonts w:hint="eastAsia" w:ascii="宋体" w:hAnsi="宋体" w:eastAsia="宋体" w:cs="宋体"/>
                <w:color w:val="000000"/>
                <w:sz w:val="24"/>
                <w:szCs w:val="24"/>
              </w:rPr>
            </w:pPr>
            <w:r>
              <w:rPr>
                <w:rFonts w:hint="eastAsia" w:ascii="宋体" w:hAnsi="宋体" w:eastAsia="宋体" w:cs="宋体"/>
                <w:color w:val="000000"/>
                <w:sz w:val="24"/>
                <w:szCs w:val="24"/>
              </w:rPr>
              <w:t>电    话：</w:t>
            </w:r>
          </w:p>
        </w:tc>
        <w:tc>
          <w:tcPr>
            <w:tcW w:w="4260" w:type="dxa"/>
            <w:noWrap w:val="0"/>
            <w:vAlign w:val="top"/>
          </w:tcPr>
          <w:p w14:paraId="01180D20">
            <w:pPr>
              <w:spacing w:line="480" w:lineRule="auto"/>
              <w:rPr>
                <w:rFonts w:hint="eastAsia" w:ascii="宋体" w:hAnsi="宋体" w:eastAsia="宋体" w:cs="宋体"/>
                <w:color w:val="000000"/>
                <w:sz w:val="24"/>
                <w:szCs w:val="24"/>
                <w:lang w:val="en-US"/>
              </w:rPr>
            </w:pPr>
            <w:r>
              <w:rPr>
                <w:rFonts w:hint="eastAsia" w:ascii="宋体" w:hAnsi="宋体" w:eastAsia="宋体" w:cs="宋体"/>
                <w:color w:val="000000"/>
                <w:sz w:val="24"/>
                <w:szCs w:val="24"/>
              </w:rPr>
              <w:t>电    话：</w:t>
            </w:r>
          </w:p>
        </w:tc>
      </w:tr>
      <w:tr w14:paraId="1F0F5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4260" w:type="dxa"/>
            <w:noWrap w:val="0"/>
            <w:vAlign w:val="top"/>
          </w:tcPr>
          <w:p w14:paraId="53021A4C">
            <w:pPr>
              <w:pStyle w:val="5"/>
              <w:spacing w:line="520" w:lineRule="exact"/>
              <w:ind w:firstLine="0" w:firstLineChars="0"/>
              <w:rPr>
                <w:rFonts w:hint="eastAsia" w:ascii="宋体" w:hAnsi="宋体" w:eastAsia="宋体" w:cs="宋体"/>
                <w:color w:val="000000"/>
                <w:sz w:val="24"/>
                <w:szCs w:val="24"/>
              </w:rPr>
            </w:pPr>
            <w:r>
              <w:rPr>
                <w:rFonts w:hint="eastAsia" w:ascii="宋体" w:hAnsi="宋体" w:eastAsia="宋体" w:cs="宋体"/>
                <w:color w:val="000000"/>
                <w:sz w:val="24"/>
                <w:szCs w:val="24"/>
              </w:rPr>
              <w:t>签约日期：     年   月     日</w:t>
            </w:r>
          </w:p>
        </w:tc>
        <w:tc>
          <w:tcPr>
            <w:tcW w:w="4260" w:type="dxa"/>
            <w:noWrap w:val="0"/>
            <w:vAlign w:val="top"/>
          </w:tcPr>
          <w:p w14:paraId="4EF0949A">
            <w:pPr>
              <w:pStyle w:val="5"/>
              <w:spacing w:line="520" w:lineRule="exact"/>
              <w:ind w:firstLine="0" w:firstLineChars="0"/>
              <w:rPr>
                <w:rFonts w:hint="eastAsia" w:ascii="宋体" w:hAnsi="宋体" w:eastAsia="宋体" w:cs="宋体"/>
                <w:color w:val="000000"/>
                <w:sz w:val="24"/>
                <w:szCs w:val="24"/>
              </w:rPr>
            </w:pPr>
            <w:r>
              <w:rPr>
                <w:rFonts w:hint="eastAsia" w:ascii="宋体" w:hAnsi="宋体" w:eastAsia="宋体" w:cs="宋体"/>
                <w:color w:val="000000"/>
                <w:sz w:val="24"/>
                <w:szCs w:val="24"/>
              </w:rPr>
              <w:t>签约日期：     年    月     日</w:t>
            </w:r>
          </w:p>
        </w:tc>
      </w:tr>
    </w:tbl>
    <w:p w14:paraId="21B642CA">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pPr>
    </w:p>
    <w:p w14:paraId="3EB64D0B"/>
    <w:p w14:paraId="12A6C8CA"/>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AA7CA0"/>
    <w:rsid w:val="58AA7CA0"/>
    <w:rsid w:val="6CE75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1629</Words>
  <Characters>1757</Characters>
  <Lines>0</Lines>
  <Paragraphs>0</Paragraphs>
  <TotalTime>1</TotalTime>
  <ScaleCrop>false</ScaleCrop>
  <LinksUpToDate>false</LinksUpToDate>
  <CharactersWithSpaces>1879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2026-08-13T14:58:00Z</dcterms:created>
  <dc:creator>MRS.瑞克</dc:creator>
  <cp:lastModifiedBy>MRS.瑞克</cp:lastModifiedBy>
  <dcterms:modified xsi:type="dcterms:W3CDTF">2026-08-13T15:38:39Z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D3125F3455204E7FBE00CC769E473F37_11</vt:lpwstr>
  </property>
  <property fmtid="{D5CDD505-2E9C-101B-9397-08002B2CF9AE}" pid="4" name="KSOTemplateDocerSaveRecord">
    <vt:lpwstr>eyJoZGlkIjoiN2E1NjExMjMwMGQyZDJkYjU5MDQ2NWEwNzA5OWJlYjEiLCJ1c2VySWQiOiI5Njg1MzQyODAifQ==</vt:lpwstr>
  </property>
</Properties>
</file>