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版本号：KY2026-1-520.1B220260615001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2026年度应急文化宣传项目(三次)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KY2026-1-520.1B2</w:t>
      </w:r>
      <w:r>
        <w:br/>
      </w:r>
      <w:r>
        <w:br/>
      </w:r>
      <w:r>
        <w:br/>
      </w:r>
    </w:p>
    <w:p>
      <w:pPr>
        <w:pStyle w:val="null3"/>
        <w:jc w:val="center"/>
        <w:outlineLvl w:val="2"/>
      </w:pPr>
      <w:r>
        <w:rPr>
          <w:rFonts w:ascii="仿宋_GB2312" w:hAnsi="仿宋_GB2312" w:cs="仿宋_GB2312" w:eastAsia="仿宋_GB2312"/>
          <w:sz w:val="28"/>
          <w:b/>
        </w:rPr>
        <w:t>西安市应急管理局（本级）</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西安市应急管理局（本级）</w:t>
      </w:r>
      <w:r>
        <w:rPr>
          <w:rFonts w:ascii="仿宋_GB2312" w:hAnsi="仿宋_GB2312" w:cs="仿宋_GB2312" w:eastAsia="仿宋_GB2312"/>
        </w:rPr>
        <w:t>委托，拟对</w:t>
      </w:r>
      <w:r>
        <w:rPr>
          <w:rFonts w:ascii="仿宋_GB2312" w:hAnsi="仿宋_GB2312" w:cs="仿宋_GB2312" w:eastAsia="仿宋_GB2312"/>
        </w:rPr>
        <w:t>2026年度应急文化宣传项目(三次)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KY2026-1-520.1B2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2026年度应急文化宣传项目(三次)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2026年西安市应急管理局新闻宣传采购项目，2026年中国应急管理报宣传。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2、法定代表人授权书/法定代表人身份证明：提供法定代表人授权书（附法定代表人、被授权人身份证复印件）（法定代表人直接参加投标，须提供法定代表人身份证明及身份证）</w:t>
      </w:r>
    </w:p>
    <w:p>
      <w:pPr>
        <w:pStyle w:val="null3"/>
      </w:pPr>
      <w:r>
        <w:rPr>
          <w:rFonts w:ascii="仿宋_GB2312" w:hAnsi="仿宋_GB2312" w:cs="仿宋_GB2312" w:eastAsia="仿宋_GB2312"/>
        </w:rPr>
        <w:t>3、财务状况报告：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pPr>
        <w:pStyle w:val="null3"/>
      </w:pPr>
      <w:r>
        <w:rPr>
          <w:rFonts w:ascii="仿宋_GB2312" w:hAnsi="仿宋_GB2312" w:cs="仿宋_GB2312" w:eastAsia="仿宋_GB2312"/>
        </w:rPr>
        <w:t>4、税收缴纳证明：提供2025年5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5、社会保障资金缴纳证明：提供2025年5月至今已缴存的至少一个月的社会保障资金缴存单据或社保机构开具的社会保险参保缴费情况证明，依法不需要缴纳社会保障资金的单位应提供相关证明材料。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信用记录：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p>
      <w:pPr>
        <w:pStyle w:val="null3"/>
      </w:pPr>
      <w:r>
        <w:rPr>
          <w:rFonts w:ascii="仿宋_GB2312" w:hAnsi="仿宋_GB2312" w:cs="仿宋_GB2312" w:eastAsia="仿宋_GB2312"/>
        </w:rPr>
        <w:t>7、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p>
      <w:pPr>
        <w:pStyle w:val="null3"/>
      </w:pPr>
      <w:r>
        <w:rPr>
          <w:rFonts w:ascii="仿宋_GB2312" w:hAnsi="仿宋_GB2312" w:cs="仿宋_GB2312" w:eastAsia="仿宋_GB2312"/>
        </w:rPr>
        <w:t>8、承诺函：提供具有履行合同所必需的设备和专业技术能力的承诺函。</w:t>
      </w:r>
    </w:p>
    <w:p>
      <w:pPr>
        <w:pStyle w:val="null3"/>
      </w:pPr>
      <w:r>
        <w:rPr>
          <w:rFonts w:ascii="仿宋_GB2312" w:hAnsi="仿宋_GB2312" w:cs="仿宋_GB2312" w:eastAsia="仿宋_GB2312"/>
        </w:rPr>
        <w:t>9、承诺书：本项目不接受联合体投标（需提供承诺书）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西安市应急管理局（本级）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西安市凤城七路旭辉中心2号楼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029-86517183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杨子雨、丁嘉伟、刘金柯、卢韶华</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029-81206622-822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》（发改价格[2011]534号）采用现金、转账或汇款方式向陕西开源招标有限公司交纳招标服务费。2、招标服务费应按招标文件要求的方式缴纳。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西安市应急管理局（本级）</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西安市应急管理局（本级）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西安市应急管理局（本级）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联系人：杨子雨、丁嘉伟</w:t>
      </w:r>
    </w:p>
    <w:p>
      <w:pPr>
        <w:pStyle w:val="null3"/>
      </w:pPr>
      <w:r>
        <w:rPr>
          <w:rFonts w:ascii="仿宋_GB2312" w:hAnsi="仿宋_GB2312" w:cs="仿宋_GB2312" w:eastAsia="仿宋_GB2312"/>
        </w:rPr>
        <w:t>联系电话：029-81206622-822</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西安市应急管理局新闻宣传采购项目包含网络媒体服务宣传、安全生产月活动暨“五进”活动、广播电视媒体合作宣传、中国应急管理报宣传四项内容，采取一个项目分标段实施的方式进行采购。该项目分4个采购包（采购包1：2026年度网络媒体服务宣传。采购包2：2026年安全生产月活动暨“五进”活动。采购包3：2026年度西安广播电视媒体宣传。采购包4：2026年中国应急管理报宣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400,000.00</w:t>
      </w:r>
    </w:p>
    <w:p>
      <w:pPr>
        <w:pStyle w:val="null3"/>
      </w:pPr>
      <w:r>
        <w:rPr>
          <w:rFonts w:ascii="仿宋_GB2312" w:hAnsi="仿宋_GB2312" w:cs="仿宋_GB2312" w:eastAsia="仿宋_GB2312"/>
        </w:rPr>
        <w:t>采购包最高限价（元）: 400,000.00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中国应急管理报合作宣传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标的名称：中国应急管理报合作宣传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135"/>
              <w:gridCol w:w="2418"/>
            </w:tblGrid>
            <w:tr>
              <w:tc>
                <w:tcPr>
                  <w:tcW w:type="dxa" w:w="135"/>
                  <w:tcBorders>
                    <w:top w:val="single" w:color="333333" w:sz="4"/>
                    <w:left w:val="single" w:color="333333"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序号</w:t>
                  </w:r>
                </w:p>
              </w:tc>
              <w:tc>
                <w:tcPr>
                  <w:tcW w:type="dxa" w:w="2418"/>
                  <w:tcBorders>
                    <w:top w:val="single" w:color="333333" w:sz="4"/>
                    <w:left w:val="none" w:color="000000" w:sz="4"/>
                    <w:bottom w:val="single" w:color="333333" w:sz="4"/>
                    <w:right w:val="single" w:color="333333" w:sz="4"/>
                  </w:tcBorders>
                  <w:tcMar>
                    <w:top w:type="dxa" w:w="75"/>
                    <w:left w:type="dxa" w:w="120"/>
                    <w:bottom w:type="dxa" w:w="75"/>
                    <w:right w:type="dxa" w:w="120"/>
                  </w:tcMar>
                  <w:vAlign w:val="top"/>
                </w:tcPr>
                <w:p>
                  <w:pPr>
                    <w:pStyle w:val="null3"/>
                    <w:jc w:val="center"/>
                  </w:pPr>
                  <w:r>
                    <w:rPr>
                      <w:rFonts w:ascii="仿宋_GB2312" w:hAnsi="仿宋_GB2312" w:cs="仿宋_GB2312" w:eastAsia="仿宋_GB2312"/>
                      <w:sz w:val="20"/>
                      <w:b/>
                    </w:rPr>
                    <w:t>服务内容及要求</w:t>
                  </w:r>
                </w:p>
              </w:tc>
            </w:tr>
            <w:tr>
              <w:tc>
                <w:tcPr>
                  <w:tcW w:type="dxa" w:w="135"/>
                  <w:tcBorders>
                    <w:top w:val="none" w:color="000000" w:sz="4"/>
                    <w:left w:val="single" w:color="333333"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shd w:fill="FFFFFF" w:val="clear"/>
                    </w:rPr>
                    <w:t>1</w:t>
                  </w:r>
                </w:p>
              </w:tc>
              <w:tc>
                <w:tcPr>
                  <w:tcW w:type="dxa" w:w="2418"/>
                  <w:tcBorders>
                    <w:top w:val="none" w:color="000000" w:sz="4"/>
                    <w:left w:val="none" w:color="000000" w:sz="4"/>
                    <w:bottom w:val="single" w:color="333333" w:sz="4"/>
                    <w:right w:val="single" w:color="333333" w:sz="4"/>
                  </w:tcBorders>
                  <w:tcMar>
                    <w:top w:type="dxa" w:w="75"/>
                    <w:left w:type="dxa" w:w="120"/>
                    <w:bottom w:type="dxa" w:w="75"/>
                    <w:right w:type="dxa" w:w="120"/>
                  </w:tcMar>
                  <w:vAlign w:val="top"/>
                </w:tcPr>
                <w:p>
                  <w:pPr>
                    <w:pStyle w:val="null3"/>
                    <w:jc w:val="left"/>
                  </w:pPr>
                  <w:r>
                    <w:rPr>
                      <w:rFonts w:ascii="仿宋_GB2312" w:hAnsi="仿宋_GB2312" w:cs="仿宋_GB2312" w:eastAsia="仿宋_GB2312"/>
                      <w:sz w:val="20"/>
                      <w:shd w:fill="FFFFFF" w:val="clear"/>
                    </w:rPr>
                    <w:t>（一）在《中国应急管理报》设立“西安视窗”专刊，以整版形式刊发,合同期内共刊发不少于五个整版。整版内容由西安市应急管理局提供素材，《中国应急管理报》负责专刊方案的制定和组稿工作。</w:t>
                  </w:r>
                </w:p>
                <w:p>
                  <w:pPr>
                    <w:pStyle w:val="null3"/>
                    <w:jc w:val="left"/>
                  </w:pPr>
                  <w:r>
                    <w:rPr>
                      <w:rFonts w:ascii="仿宋_GB2312" w:hAnsi="仿宋_GB2312" w:cs="仿宋_GB2312" w:eastAsia="仿宋_GB2312"/>
                      <w:sz w:val="20"/>
                      <w:shd w:fill="FFFFFF" w:val="clear"/>
                    </w:rPr>
                    <w:t>（二）《中国应急管理报》充分发挥行业主流媒体优势,向西安市应急管理局提供全年、阶段性和相关专项报道计划,协助采购人完成重大活动报道。</w:t>
                  </w:r>
                </w:p>
                <w:p>
                  <w:pPr>
                    <w:pStyle w:val="null3"/>
                    <w:jc w:val="left"/>
                  </w:pPr>
                  <w:r>
                    <w:rPr>
                      <w:rFonts w:ascii="仿宋_GB2312" w:hAnsi="仿宋_GB2312" w:cs="仿宋_GB2312" w:eastAsia="仿宋_GB2312"/>
                      <w:sz w:val="20"/>
                      <w:shd w:fill="FFFFFF" w:val="clear"/>
                    </w:rPr>
                    <w:t>（三）为西安市应急管理局提供新闻业务培训服务，具体内容和时间由双方协商。</w:t>
                  </w:r>
                </w:p>
                <w:p>
                  <w:pPr>
                    <w:pStyle w:val="null3"/>
                    <w:jc w:val="left"/>
                  </w:pPr>
                  <w:r>
                    <w:rPr>
                      <w:rFonts w:ascii="仿宋_GB2312" w:hAnsi="仿宋_GB2312" w:cs="仿宋_GB2312" w:eastAsia="仿宋_GB2312"/>
                      <w:sz w:val="20"/>
                      <w:shd w:fill="FFFFFF" w:val="clear"/>
                    </w:rPr>
                    <w:t>（四）《中国应急管理报》、中国安全生产网和官方微信及微博，加大对西安市应急管理局组织、提供的关于西安市应急管理、安全生产、防灾减灾等相关工作重点资讯的关注度。</w:t>
                  </w:r>
                </w:p>
                <w:p>
                  <w:pPr>
                    <w:pStyle w:val="null3"/>
                    <w:jc w:val="left"/>
                  </w:pPr>
                  <w:r>
                    <w:rPr>
                      <w:rFonts w:ascii="仿宋_GB2312" w:hAnsi="仿宋_GB2312" w:cs="仿宋_GB2312" w:eastAsia="仿宋_GB2312"/>
                      <w:sz w:val="20"/>
                      <w:shd w:fill="FFFFFF" w:val="clear"/>
                    </w:rPr>
                    <w:t>（五）提供《中国应急管理报》电子报刊5份。</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自合同签订之日起365日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西安市内（采购人指定地点）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按竞争性磋商文件、响应文件等服务指标进行逐项验收，各项指标均应符合验收标准及要求。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签订合同</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20.00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活动结束验收合格后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 支付合同总金额的</w:t>
      </w:r>
      <w:r>
        <w:rPr>
          <w:rFonts w:ascii="仿宋_GB2312" w:hAnsi="仿宋_GB2312" w:cs="仿宋_GB2312" w:eastAsia="仿宋_GB2312"/>
        </w:rPr>
        <w:t>80.00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提供2025年5月至今已缴纳至少一个月的依法缴纳税款的相关凭据（时间以税款所属日期为准），凭据应有税务机关或代收机关的公章或业务专用章。依法免税或无须缴纳税款的供应商，应提供相关证明文件。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提供2025年5月至今已缴存的至少一个月的社会保障资金缴存单据或社保机构开具的社会保险参保缴费情况证明，依法不需要缴纳社会保障资金的单位应提供相关证明材料。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列入“信用中国”严重失信主体名单、不得列入“中国执行信息公开网”失信被执行人名单（包括投标人及法定代表人），不得为“中国政府采购网”政府采购严重违法失信行为记录名单中被财政部门禁止参加政府采购活动的投标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投标人参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供应商资格证明文件.docx 供应商承诺书.docx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本项目不接受联合体投标（需提供承诺书）</w:t>
            </w:r>
          </w:p>
        </w:tc>
        <w:tc>
          <w:tcPr>
            <w:tcW w:type="dxa" w:w="1661"/>
          </w:tcPr>
          <w:p>
            <w:pPr>
              <w:pStyle w:val="null3"/>
            </w:pPr>
            <w:r>
              <w:rPr>
                <w:rFonts w:ascii="仿宋_GB2312" w:hAnsi="仿宋_GB2312" w:cs="仿宋_GB2312" w:eastAsia="仿宋_GB2312"/>
              </w:rPr>
              <w:t>供应商承诺书.docx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按磋商文件要求签字盖章</w:t>
            </w:r>
          </w:p>
        </w:tc>
        <w:tc>
          <w:tcPr>
            <w:tcW w:type="dxa" w:w="1661"/>
          </w:tcPr>
          <w:p>
            <w:pPr>
              <w:pStyle w:val="null3"/>
            </w:pPr>
            <w:r>
              <w:rPr>
                <w:rFonts w:ascii="仿宋_GB2312" w:hAnsi="仿宋_GB2312" w:cs="仿宋_GB2312" w:eastAsia="仿宋_GB2312"/>
              </w:rPr>
              <w:t>响应方案说明.docx 中小企业声明函 报价表 供应商承诺书.docx 商务条款响应说明.docx 响应文件封面 响应报价表、分项报价表.docx 残疾人福利性单位声明函 标的清单 服务内容及服务要求应答表.docx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需求响应</w:t>
            </w:r>
          </w:p>
        </w:tc>
        <w:tc>
          <w:tcPr>
            <w:tcW w:type="dxa" w:w="2492"/>
          </w:tcPr>
          <w:p>
            <w:pPr>
              <w:pStyle w:val="null3"/>
            </w:pPr>
            <w:r>
              <w:rPr>
                <w:rFonts w:ascii="仿宋_GB2312" w:hAnsi="仿宋_GB2312" w:cs="仿宋_GB2312" w:eastAsia="仿宋_GB2312"/>
              </w:rPr>
              <w:t>供应商针对本项目提出适用于本项目的方案，方案包括：①项目理解②需求分析③项目重难点分析。 方案各项内容全面详细、阐述条理清晰、合理，能有效保障本项目实施计12分，每有一项缺项扣4分，每项内容中存在一处缺陷，扣1分,扣完为止。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供应商针对本项目提出适用于本项目的方案，方案包括：①投放方案②制作方案③宣传方案④具体措施。 方案各项内容全面详细、阐述条理清晰、合理，能有效保障本项目实施计24分，每有一项缺项扣6分，每项内容中存在一处缺陷，扣1分,扣完为止。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tc>
      </w:tr>
      <w:tr>
        <w:tc>
          <w:tcPr>
            <w:tcW w:type="dxa" w:w="831"/>
            <w:vMerge/>
          </w:tcPr>
          <w:p/>
        </w:tc>
        <w:tc>
          <w:tcPr>
            <w:tcW w:type="dxa" w:w="1661"/>
          </w:tcPr>
          <w:p>
            <w:pPr>
              <w:pStyle w:val="null3"/>
            </w:pPr>
            <w:r>
              <w:rPr>
                <w:rFonts w:ascii="仿宋_GB2312" w:hAnsi="仿宋_GB2312" w:cs="仿宋_GB2312" w:eastAsia="仿宋_GB2312"/>
              </w:rPr>
              <w:t>服务承诺及相关管理措施</w:t>
            </w:r>
          </w:p>
        </w:tc>
        <w:tc>
          <w:tcPr>
            <w:tcW w:type="dxa" w:w="2492"/>
          </w:tcPr>
          <w:p>
            <w:pPr>
              <w:pStyle w:val="null3"/>
            </w:pPr>
            <w:r>
              <w:rPr>
                <w:rFonts w:ascii="仿宋_GB2312" w:hAnsi="仿宋_GB2312" w:cs="仿宋_GB2312" w:eastAsia="仿宋_GB2312"/>
              </w:rPr>
              <w:t>供应商针对采购需求提出适用于本项目的措施方案，方案包括：①质量保证措施②进度控制措施③服务承诺及应急管理措施。 方案各项内容全面详细、阐述条理清晰、合理，能有效保障本项目实施计15分，每有一项缺项扣5分，每项内容中存在一处缺陷，扣1分,扣完为止。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内部管理制度</w:t>
            </w:r>
          </w:p>
        </w:tc>
        <w:tc>
          <w:tcPr>
            <w:tcW w:type="dxa" w:w="2492"/>
          </w:tcPr>
          <w:p>
            <w:pPr>
              <w:pStyle w:val="null3"/>
            </w:pPr>
            <w:r>
              <w:rPr>
                <w:rFonts w:ascii="仿宋_GB2312" w:hAnsi="仿宋_GB2312" w:cs="仿宋_GB2312" w:eastAsia="仿宋_GB2312"/>
              </w:rPr>
              <w:t>供应商针对本项目提出适用于本项目的措施方案，方案包括：①审核制度②内控制度③档案管理制度。 方案各项内容全面详细、阐述条理清晰、合理，能有效保障本项目实施计9分，每有一项缺项扣3分，每项内容中存在一处缺陷，扣1分,扣完为止。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供应商对本项目服务工作中的常见问题进行梳理，具有良好的解决方案并及时向采购人提出合理化建议，经磋商小组认定每提供一条得1分，满分3分。不提供不得分。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项目负责人： 针对本项目的项目负责人具有丰富的工作经验，能够带领及引导团队人员顺利完成项目，并达到采购人要求，项目负责人具有大专及以上学历得1分，未提供不计分。 项目负责人具有2023年1月1日至今类似项目业绩，每提供一份得2分，满分6分。（以提供的合同或中标（成交）通知书复印件（或扫描件）为准或被服务单位加盖公章的证明材料。 项目组人员： 根据本项目所配备项目组人员情况进行打分，项目组人员的相关能力证书，经验须与项目采购内容相适应。服务团队不少于4人且完全满足项目需求的得6分，每增加一人加1分，共计10分。</w:t>
            </w:r>
          </w:p>
        </w:tc>
        <w:tc>
          <w:tcPr>
            <w:tcW w:type="dxa" w:w="831"/>
          </w:tcPr>
          <w:p>
            <w:pPr>
              <w:pStyle w:val="null3"/>
              <w:jc w:val="right"/>
            </w:pPr>
            <w:r>
              <w:rPr>
                <w:rFonts w:ascii="仿宋_GB2312" w:hAnsi="仿宋_GB2312" w:cs="仿宋_GB2312" w:eastAsia="仿宋_GB2312"/>
              </w:rPr>
              <w:t>17.0000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商务条款响应说明.docx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响应方案说明.docx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自2023年1月1日至今类似项目业绩，以供应商提供的合同或中标（成交）通知书复印件（或扫描件）为准（日期以合同签订时间或中标（成交）通知书时间为准），每提供一份得2分，满分10分；未提供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供应商承诺书.docx</w:t>
            </w:r>
          </w:p>
          <w:p>
            <w:pPr>
              <w:pStyle w:val="null3"/>
            </w:pPr>
            <w:r>
              <w:rPr>
                <w:rFonts w:ascii="仿宋_GB2312" w:hAnsi="仿宋_GB2312" w:cs="仿宋_GB2312" w:eastAsia="仿宋_GB2312"/>
              </w:rPr>
              <w:t>响应方案说明.docx</w:t>
            </w:r>
          </w:p>
          <w:p>
            <w:pPr>
              <w:pStyle w:val="null3"/>
            </w:pPr>
            <w:r>
              <w:rPr>
                <w:rFonts w:ascii="仿宋_GB2312" w:hAnsi="仿宋_GB2312" w:cs="仿宋_GB2312" w:eastAsia="仿宋_GB2312"/>
              </w:rPr>
              <w:t>服务内容及服务要求应答表.docx</w:t>
            </w:r>
          </w:p>
          <w:p>
            <w:pPr>
              <w:pStyle w:val="null3"/>
            </w:pPr>
            <w:r>
              <w:rPr>
                <w:rFonts w:ascii="仿宋_GB2312" w:hAnsi="仿宋_GB2312" w:cs="仿宋_GB2312" w:eastAsia="仿宋_GB2312"/>
              </w:rPr>
              <w:t>商务条款响应说明.docx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评标基准价=满足磋商文件要求且最低的评标价格，合格供应商的有效价格得分=（评标基准价/评标价格)×10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响应报价表、分项报价表.docx</w:t>
            </w:r>
          </w:p>
          <w:p>
            <w:pPr>
              <w:pStyle w:val="null3"/>
            </w:pPr>
            <w:r>
              <w:rPr>
                <w:rFonts w:ascii="仿宋_GB2312" w:hAnsi="仿宋_GB2312" w:cs="仿宋_GB2312" w:eastAsia="仿宋_GB2312"/>
              </w:rPr>
              <w:t>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详见附件：响应报价表、分项报价表.docx</w:t>
      </w:r>
    </w:p>
    <w:p>
      <w:pPr>
        <w:pStyle w:val="null3"/>
        <w:ind w:firstLine="960"/>
      </w:pPr>
      <w:r>
        <w:rPr>
          <w:rFonts w:ascii="仿宋_GB2312" w:hAnsi="仿宋_GB2312" w:cs="仿宋_GB2312" w:eastAsia="仿宋_GB2312"/>
        </w:rPr>
        <w:t>详见附件：服务内容及服务要求应答表.docx</w:t>
      </w:r>
    </w:p>
    <w:p>
      <w:pPr>
        <w:pStyle w:val="null3"/>
        <w:ind w:firstLine="960"/>
      </w:pPr>
      <w:r>
        <w:rPr>
          <w:rFonts w:ascii="仿宋_GB2312" w:hAnsi="仿宋_GB2312" w:cs="仿宋_GB2312" w:eastAsia="仿宋_GB2312"/>
        </w:rPr>
        <w:t>详见附件：商务条款响应说明.docx</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详见附件：响应方案说明.docx</w:t>
      </w:r>
    </w:p>
    <w:p>
      <w:pPr>
        <w:pStyle w:val="null3"/>
        <w:ind w:firstLine="960"/>
      </w:pPr>
      <w:r>
        <w:rPr>
          <w:rFonts w:ascii="仿宋_GB2312" w:hAnsi="仿宋_GB2312" w:cs="仿宋_GB2312" w:eastAsia="仿宋_GB2312"/>
        </w:rPr>
        <w:t>详见附件：供应商承诺书.docx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