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ED3747">
      <w:pPr>
        <w:pStyle w:val="5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一、采购内容及技术要求</w:t>
      </w:r>
    </w:p>
    <w:tbl>
      <w:tblPr>
        <w:tblStyle w:val="14"/>
        <w:tblW w:w="4849" w:type="pct"/>
        <w:tblInd w:w="1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"/>
        <w:gridCol w:w="913"/>
        <w:gridCol w:w="5883"/>
        <w:gridCol w:w="693"/>
      </w:tblGrid>
      <w:tr w14:paraId="5EA33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470" w:type="pct"/>
            <w:noWrap w:val="0"/>
            <w:vAlign w:val="center"/>
          </w:tcPr>
          <w:p w14:paraId="137472D3">
            <w:pPr>
              <w:pStyle w:val="20"/>
              <w:bidi w:val="0"/>
              <w:rPr>
                <w:rFonts w:hint="default"/>
                <w:b/>
                <w:bCs/>
                <w:color w:val="auto"/>
                <w:lang w:val="en-US" w:eastAsia="zh-CN"/>
              </w:rPr>
            </w:pPr>
            <w:bookmarkStart w:id="0" w:name="_GoBack"/>
            <w:r>
              <w:rPr>
                <w:rFonts w:hint="eastAsia"/>
                <w:b/>
                <w:bCs/>
                <w:color w:val="auto"/>
                <w:lang w:val="en-US" w:eastAsia="zh-CN"/>
              </w:rPr>
              <w:t>序号</w:t>
            </w:r>
          </w:p>
        </w:tc>
        <w:tc>
          <w:tcPr>
            <w:tcW w:w="552" w:type="pct"/>
            <w:noWrap w:val="0"/>
            <w:vAlign w:val="center"/>
          </w:tcPr>
          <w:p w14:paraId="63FED9A8">
            <w:pPr>
              <w:pStyle w:val="20"/>
              <w:bidi w:val="0"/>
              <w:rPr>
                <w:rFonts w:hint="default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名称</w:t>
            </w:r>
          </w:p>
        </w:tc>
        <w:tc>
          <w:tcPr>
            <w:tcW w:w="3558" w:type="pct"/>
            <w:noWrap w:val="0"/>
            <w:vAlign w:val="center"/>
          </w:tcPr>
          <w:p w14:paraId="0230D181">
            <w:pPr>
              <w:pStyle w:val="20"/>
              <w:bidi w:val="0"/>
              <w:rPr>
                <w:rFonts w:hint="default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技术要求</w:t>
            </w:r>
          </w:p>
        </w:tc>
        <w:tc>
          <w:tcPr>
            <w:tcW w:w="419" w:type="pct"/>
            <w:noWrap w:val="0"/>
            <w:vAlign w:val="center"/>
          </w:tcPr>
          <w:p w14:paraId="2834252E">
            <w:pPr>
              <w:pStyle w:val="20"/>
              <w:bidi w:val="0"/>
              <w:rPr>
                <w:rFonts w:hint="default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数量</w:t>
            </w:r>
          </w:p>
        </w:tc>
      </w:tr>
      <w:tr w14:paraId="09DB9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470" w:type="pct"/>
            <w:noWrap w:val="0"/>
            <w:vAlign w:val="center"/>
          </w:tcPr>
          <w:p w14:paraId="057926FC">
            <w:pPr>
              <w:pStyle w:val="20"/>
              <w:bidi w:val="0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1</w:t>
            </w:r>
          </w:p>
        </w:tc>
        <w:tc>
          <w:tcPr>
            <w:tcW w:w="552" w:type="pct"/>
            <w:noWrap w:val="0"/>
            <w:vAlign w:val="center"/>
          </w:tcPr>
          <w:p w14:paraId="2BBEBC0D">
            <w:pPr>
              <w:pStyle w:val="20"/>
              <w:bidi w:val="0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基础要求</w:t>
            </w:r>
          </w:p>
        </w:tc>
        <w:tc>
          <w:tcPr>
            <w:tcW w:w="3558" w:type="pct"/>
            <w:noWrap w:val="0"/>
            <w:vAlign w:val="center"/>
          </w:tcPr>
          <w:p w14:paraId="19CE8851">
            <w:pPr>
              <w:pStyle w:val="20"/>
              <w:bidi w:val="0"/>
              <w:jc w:val="left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1.</w:t>
            </w:r>
            <w:r>
              <w:rPr>
                <w:rFonts w:hint="eastAsia"/>
                <w:color w:val="auto"/>
              </w:rPr>
              <w:t>提供一套</w:t>
            </w:r>
            <w:r>
              <w:rPr>
                <w:rFonts w:hint="eastAsia"/>
                <w:color w:val="auto"/>
                <w:lang w:val="en-US" w:eastAsia="zh-CN"/>
              </w:rPr>
              <w:t>电脑</w:t>
            </w:r>
            <w:r>
              <w:rPr>
                <w:rFonts w:hint="eastAsia"/>
                <w:color w:val="auto"/>
              </w:rPr>
              <w:t>端</w:t>
            </w:r>
            <w:r>
              <w:rPr>
                <w:rFonts w:hint="eastAsia"/>
                <w:color w:val="auto"/>
                <w:lang w:val="en-US" w:eastAsia="zh-CN"/>
              </w:rPr>
              <w:t>使用</w:t>
            </w:r>
            <w:r>
              <w:rPr>
                <w:rFonts w:hint="eastAsia"/>
                <w:color w:val="auto"/>
              </w:rPr>
              <w:t>门户；</w:t>
            </w:r>
          </w:p>
          <w:p w14:paraId="2FCD75AB">
            <w:pPr>
              <w:pStyle w:val="20"/>
              <w:bidi w:val="0"/>
              <w:jc w:val="left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2.</w:t>
            </w:r>
            <w:r>
              <w:rPr>
                <w:rFonts w:hint="eastAsia"/>
                <w:color w:val="auto"/>
              </w:rPr>
              <w:t>提供一套基于H5页面的移动端门户，</w:t>
            </w:r>
            <w:r>
              <w:rPr>
                <w:rFonts w:hint="eastAsia"/>
                <w:color w:val="auto"/>
                <w:highlight w:val="none"/>
              </w:rPr>
              <w:t>需实现接入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安卓/iOS/鸿蒙客户端</w:t>
            </w:r>
            <w:r>
              <w:rPr>
                <w:rFonts w:hint="eastAsia"/>
                <w:color w:val="auto"/>
                <w:highlight w:val="none"/>
              </w:rPr>
              <w:t>企业微信，且可便捷迁移至其他平台如钉钉、微信小程序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H5等；</w:t>
            </w:r>
          </w:p>
          <w:p w14:paraId="4A039267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3.电脑端和移动端须实现与学校统一认证平台对接，实现单点登录至电脑端和移动端；</w:t>
            </w:r>
          </w:p>
          <w:p w14:paraId="138255CA">
            <w:pPr>
              <w:pStyle w:val="20"/>
              <w:bidi w:val="0"/>
              <w:jc w:val="left"/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4.</w:t>
            </w:r>
            <w:r>
              <w:rPr>
                <w:rFonts w:hint="eastAsia"/>
                <w:color w:val="auto"/>
              </w:rPr>
              <w:t>实现定制</w:t>
            </w:r>
            <w:r>
              <w:rPr>
                <w:rFonts w:hint="eastAsia"/>
                <w:color w:val="auto"/>
                <w:lang w:val="en-US" w:eastAsia="zh-CN"/>
              </w:rPr>
              <w:t>电脑</w:t>
            </w:r>
            <w:r>
              <w:rPr>
                <w:rFonts w:hint="eastAsia"/>
                <w:color w:val="auto"/>
              </w:rPr>
              <w:t>端、移动端主题</w:t>
            </w:r>
            <w:r>
              <w:rPr>
                <w:rFonts w:hint="eastAsia"/>
                <w:color w:val="auto"/>
                <w:lang w:eastAsia="zh-CN"/>
              </w:rPr>
              <w:t>；</w:t>
            </w:r>
          </w:p>
          <w:p w14:paraId="026DCF0C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5.</w:t>
            </w:r>
            <w:r>
              <w:rPr>
                <w:rFonts w:hint="eastAsia"/>
                <w:color w:val="auto"/>
              </w:rPr>
              <w:t>具备查看、展示</w:t>
            </w:r>
            <w:r>
              <w:rPr>
                <w:rFonts w:hint="eastAsia"/>
                <w:color w:val="auto"/>
                <w:lang w:val="en-US" w:eastAsia="zh-CN"/>
              </w:rPr>
              <w:t>电脑</w:t>
            </w:r>
            <w:r>
              <w:rPr>
                <w:rFonts w:hint="eastAsia"/>
                <w:color w:val="auto"/>
              </w:rPr>
              <w:t>端、移动端的总体使用情况，提供门户访问分析、内容使用分析、用户行为分析进行可视化分析。</w:t>
            </w:r>
          </w:p>
        </w:tc>
        <w:tc>
          <w:tcPr>
            <w:tcW w:w="419" w:type="pct"/>
            <w:noWrap w:val="0"/>
            <w:vAlign w:val="center"/>
          </w:tcPr>
          <w:p w14:paraId="6A23737E">
            <w:pPr>
              <w:pStyle w:val="20"/>
              <w:bidi w:val="0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1</w:t>
            </w:r>
          </w:p>
        </w:tc>
      </w:tr>
      <w:tr w14:paraId="5DA8B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470" w:type="pct"/>
            <w:noWrap w:val="0"/>
            <w:vAlign w:val="center"/>
          </w:tcPr>
          <w:p w14:paraId="6E258F09">
            <w:pPr>
              <w:pStyle w:val="20"/>
              <w:bidi w:val="0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2</w:t>
            </w:r>
          </w:p>
        </w:tc>
        <w:tc>
          <w:tcPr>
            <w:tcW w:w="552" w:type="pct"/>
            <w:noWrap w:val="0"/>
            <w:vAlign w:val="center"/>
          </w:tcPr>
          <w:p w14:paraId="4A0C1F06">
            <w:pPr>
              <w:pStyle w:val="20"/>
              <w:bidi w:val="0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电脑端及移动端用户端要求</w:t>
            </w:r>
          </w:p>
        </w:tc>
        <w:tc>
          <w:tcPr>
            <w:tcW w:w="3558" w:type="pct"/>
            <w:noWrap w:val="0"/>
            <w:vAlign w:val="center"/>
          </w:tcPr>
          <w:p w14:paraId="611E071E">
            <w:pPr>
              <w:pStyle w:val="20"/>
              <w:bidi w:val="0"/>
              <w:jc w:val="left"/>
              <w:rPr>
                <w:rFonts w:hint="eastAsia"/>
                <w:b/>
                <w:bCs/>
                <w:color w:val="auto"/>
                <w:lang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1.</w:t>
            </w:r>
            <w:r>
              <w:rPr>
                <w:rFonts w:hint="eastAsia"/>
                <w:b/>
                <w:bCs/>
                <w:color w:val="auto"/>
                <w:lang w:eastAsia="zh-CN"/>
              </w:rPr>
              <w:t>用户首页</w:t>
            </w:r>
          </w:p>
          <w:p w14:paraId="6C0E1E37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eastAsia="zh-CN"/>
              </w:rPr>
              <w:t>针对不同用户群体，展示和推送所需服务内容和相关展示信息，</w:t>
            </w:r>
            <w:r>
              <w:rPr>
                <w:rFonts w:hint="eastAsia"/>
                <w:color w:val="auto"/>
                <w:lang w:val="en-US" w:eastAsia="zh-CN"/>
              </w:rPr>
              <w:t>应包含：</w:t>
            </w:r>
          </w:p>
          <w:p w14:paraId="07DA4D8B">
            <w:pPr>
              <w:pStyle w:val="20"/>
              <w:bidi w:val="0"/>
              <w:jc w:val="left"/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1</w:t>
            </w:r>
            <w:r>
              <w:rPr>
                <w:rFonts w:hint="eastAsia"/>
                <w:color w:val="auto"/>
                <w:lang w:eastAsia="zh-CN"/>
              </w:rPr>
              <w:t>）消息提醒。</w:t>
            </w:r>
            <w:r>
              <w:rPr>
                <w:rFonts w:hint="eastAsia"/>
                <w:color w:val="auto"/>
                <w:lang w:val="en-US" w:eastAsia="zh-CN"/>
              </w:rPr>
              <w:t>需</w:t>
            </w:r>
            <w:r>
              <w:rPr>
                <w:rFonts w:hint="eastAsia"/>
                <w:color w:val="auto"/>
                <w:lang w:eastAsia="zh-CN"/>
              </w:rPr>
              <w:t>提供分类个人消息推送、点对点消息、自动消息推送（插件式，可配置）；提供第三方消息接口，</w:t>
            </w:r>
            <w:r>
              <w:rPr>
                <w:rFonts w:hint="eastAsia"/>
                <w:color w:val="auto"/>
                <w:lang w:val="en-US" w:eastAsia="zh-CN"/>
              </w:rPr>
              <w:t>需</w:t>
            </w:r>
            <w:r>
              <w:rPr>
                <w:rFonts w:hint="eastAsia"/>
                <w:color w:val="auto"/>
                <w:lang w:eastAsia="zh-CN"/>
              </w:rPr>
              <w:t>集成学校现有业务系统进行消息推送。同时还需支持微信消息、APP消息推送、短信、邮件等方式</w:t>
            </w:r>
            <w:r>
              <w:rPr>
                <w:rFonts w:hint="eastAsia"/>
                <w:color w:val="auto"/>
                <w:lang w:val="en-US" w:eastAsia="zh-CN"/>
              </w:rPr>
              <w:t>进行</w:t>
            </w:r>
            <w:r>
              <w:rPr>
                <w:rFonts w:hint="eastAsia"/>
                <w:color w:val="auto"/>
                <w:lang w:eastAsia="zh-CN"/>
              </w:rPr>
              <w:t>消息</w:t>
            </w:r>
            <w:r>
              <w:rPr>
                <w:rFonts w:hint="eastAsia"/>
                <w:color w:val="auto"/>
                <w:lang w:val="en-US" w:eastAsia="zh-CN"/>
              </w:rPr>
              <w:t>推送</w:t>
            </w:r>
            <w:r>
              <w:rPr>
                <w:rFonts w:hint="eastAsia"/>
                <w:color w:val="auto"/>
                <w:lang w:eastAsia="zh-CN"/>
              </w:rPr>
              <w:t>。</w:t>
            </w:r>
          </w:p>
          <w:p w14:paraId="4D928A33">
            <w:pPr>
              <w:pStyle w:val="20"/>
              <w:bidi w:val="0"/>
              <w:jc w:val="left"/>
              <w:rPr>
                <w:rFonts w:hint="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▲</w:t>
            </w: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2</w:t>
            </w:r>
            <w:r>
              <w:rPr>
                <w:rFonts w:hint="eastAsia"/>
                <w:color w:val="auto"/>
                <w:lang w:eastAsia="zh-CN"/>
              </w:rPr>
              <w:t>）可信文档申请。</w:t>
            </w:r>
            <w:r>
              <w:rPr>
                <w:rFonts w:hint="eastAsia"/>
                <w:color w:val="auto"/>
                <w:lang w:val="en-US" w:eastAsia="zh-CN"/>
              </w:rPr>
              <w:t>需具备电脑端和移动端自助进行</w:t>
            </w:r>
            <w:r>
              <w:rPr>
                <w:rFonts w:hint="eastAsia"/>
                <w:color w:val="auto"/>
                <w:lang w:eastAsia="zh-CN"/>
              </w:rPr>
              <w:t>可信电子文档和可信电子证照</w:t>
            </w:r>
            <w:r>
              <w:rPr>
                <w:rFonts w:hint="eastAsia"/>
                <w:color w:val="auto"/>
                <w:lang w:val="en-US" w:eastAsia="zh-CN"/>
              </w:rPr>
              <w:t>申请功能</w:t>
            </w:r>
            <w:r>
              <w:rPr>
                <w:rFonts w:hint="eastAsia"/>
                <w:color w:val="auto"/>
                <w:lang w:eastAsia="zh-CN"/>
              </w:rPr>
              <w:t>，支持师生进行文档申请操作（包括文档预览、选择文档、批量选择文档、选择邮箱、支付），将自己所需电子文档</w:t>
            </w:r>
            <w:r>
              <w:rPr>
                <w:rFonts w:hint="eastAsia"/>
                <w:color w:val="auto"/>
                <w:lang w:val="en-US" w:eastAsia="zh-CN"/>
              </w:rPr>
              <w:t>直接进行下载或</w:t>
            </w:r>
            <w:r>
              <w:rPr>
                <w:rFonts w:hint="eastAsia"/>
                <w:color w:val="auto"/>
                <w:lang w:eastAsia="zh-CN"/>
              </w:rPr>
              <w:t>发送到指定邮箱。</w:t>
            </w:r>
            <w:r>
              <w:rPr>
                <w:rFonts w:hint="eastAsia"/>
                <w:color w:val="auto"/>
                <w:lang w:val="en-US" w:eastAsia="zh-CN"/>
              </w:rPr>
              <w:t>需支持根据不同用途进行文档申请。</w:t>
            </w:r>
            <w:r>
              <w:rPr>
                <w:rFonts w:hint="eastAsia"/>
                <w:color w:val="auto"/>
                <w:highlight w:val="none"/>
              </w:rPr>
              <w:t>【此项需要现场演示】</w:t>
            </w:r>
          </w:p>
          <w:p w14:paraId="106215F8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3</w:t>
            </w:r>
            <w:r>
              <w:rPr>
                <w:rFonts w:hint="eastAsia"/>
                <w:color w:val="auto"/>
                <w:lang w:eastAsia="zh-CN"/>
              </w:rPr>
              <w:t>）邮箱管理。</w:t>
            </w:r>
            <w:r>
              <w:rPr>
                <w:rFonts w:hint="eastAsia"/>
                <w:color w:val="auto"/>
                <w:lang w:val="en-US" w:eastAsia="zh-CN"/>
              </w:rPr>
              <w:t>需</w:t>
            </w:r>
            <w:r>
              <w:rPr>
                <w:rFonts w:hint="eastAsia"/>
                <w:color w:val="auto"/>
                <w:lang w:eastAsia="zh-CN"/>
              </w:rPr>
              <w:t>支持学、师生增加邮箱地址，</w:t>
            </w:r>
            <w:r>
              <w:rPr>
                <w:rFonts w:hint="eastAsia"/>
                <w:color w:val="auto"/>
                <w:lang w:val="en-US" w:eastAsia="zh-CN"/>
              </w:rPr>
              <w:t>且需要对申请完成的文档自动发送至邮箱。</w:t>
            </w:r>
          </w:p>
          <w:p w14:paraId="636C866C">
            <w:pPr>
              <w:pStyle w:val="20"/>
              <w:bidi w:val="0"/>
              <w:jc w:val="left"/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（4）</w:t>
            </w:r>
            <w:r>
              <w:rPr>
                <w:rFonts w:hint="eastAsia"/>
                <w:color w:val="auto"/>
                <w:lang w:eastAsia="zh-CN"/>
              </w:rPr>
              <w:t>信息查询。</w:t>
            </w:r>
            <w:r>
              <w:rPr>
                <w:rFonts w:hint="eastAsia"/>
                <w:color w:val="auto"/>
                <w:lang w:val="en-US" w:eastAsia="zh-CN"/>
              </w:rPr>
              <w:t>需</w:t>
            </w:r>
            <w:r>
              <w:rPr>
                <w:rFonts w:hint="eastAsia"/>
                <w:color w:val="auto"/>
                <w:lang w:eastAsia="zh-CN"/>
              </w:rPr>
              <w:t>提供各类信息查询服务，如个人信息、收费标准、可用免费下载份数、订单记录、支付记录等内容。</w:t>
            </w:r>
          </w:p>
          <w:p w14:paraId="0D93648F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5）</w:t>
            </w:r>
            <w:r>
              <w:rPr>
                <w:rFonts w:hint="eastAsia"/>
                <w:color w:val="auto"/>
              </w:rPr>
              <w:t>通知公告</w:t>
            </w:r>
            <w:r>
              <w:rPr>
                <w:rFonts w:hint="eastAsia"/>
                <w:color w:val="auto"/>
                <w:lang w:eastAsia="zh-CN"/>
              </w:rPr>
              <w:t>。</w:t>
            </w:r>
            <w:r>
              <w:rPr>
                <w:rFonts w:hint="eastAsia"/>
                <w:color w:val="auto"/>
              </w:rPr>
              <w:t>服务门户能够实时</w:t>
            </w:r>
            <w:r>
              <w:rPr>
                <w:rFonts w:hint="eastAsia"/>
                <w:color w:val="auto"/>
                <w:lang w:val="en-US" w:eastAsia="zh-CN"/>
              </w:rPr>
              <w:t>查看学校发布的通知</w:t>
            </w:r>
            <w:r>
              <w:rPr>
                <w:rFonts w:hint="eastAsia"/>
                <w:color w:val="auto"/>
              </w:rPr>
              <w:t>公告</w:t>
            </w:r>
            <w:r>
              <w:rPr>
                <w:rFonts w:hint="eastAsia"/>
                <w:color w:val="auto"/>
                <w:lang w:eastAsia="zh-CN"/>
              </w:rPr>
              <w:t>。</w:t>
            </w:r>
          </w:p>
          <w:p w14:paraId="6510AC1D">
            <w:pPr>
              <w:pStyle w:val="20"/>
              <w:bidi w:val="0"/>
              <w:jc w:val="left"/>
              <w:rPr>
                <w:rFonts w:hint="eastAsia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2.任务中心</w:t>
            </w:r>
          </w:p>
          <w:p w14:paraId="793A037C">
            <w:pPr>
              <w:pStyle w:val="20"/>
              <w:bidi w:val="0"/>
              <w:jc w:val="left"/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/>
                <w:color w:val="auto"/>
                <w:lang w:eastAsia="zh-CN"/>
              </w:rPr>
              <w:t>（1）</w:t>
            </w:r>
            <w:r>
              <w:rPr>
                <w:rFonts w:hint="eastAsia"/>
                <w:color w:val="auto"/>
                <w:lang w:val="en-US" w:eastAsia="zh-CN"/>
              </w:rPr>
              <w:t>咨询</w:t>
            </w:r>
            <w:r>
              <w:rPr>
                <w:rFonts w:hint="eastAsia"/>
                <w:color w:val="auto"/>
                <w:lang w:eastAsia="zh-CN"/>
              </w:rPr>
              <w:t>反馈。</w:t>
            </w:r>
            <w:r>
              <w:rPr>
                <w:rFonts w:hint="eastAsia"/>
                <w:color w:val="auto"/>
                <w:lang w:val="en-US" w:eastAsia="zh-CN"/>
              </w:rPr>
              <w:t>具备问题咨询与反馈功能。</w:t>
            </w:r>
            <w:r>
              <w:rPr>
                <w:rFonts w:hint="eastAsia"/>
                <w:color w:val="auto"/>
                <w:lang w:eastAsia="zh-CN"/>
              </w:rPr>
              <w:t>用户在下载文档的过程中，如发现数据问题，可随时通过数据反馈功能反馈数据问题，管理人员处理完成后，实时反馈处理结果。</w:t>
            </w:r>
          </w:p>
          <w:p w14:paraId="66F40D97">
            <w:pPr>
              <w:pStyle w:val="20"/>
              <w:bidi w:val="0"/>
              <w:jc w:val="left"/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2</w:t>
            </w:r>
            <w:r>
              <w:rPr>
                <w:rFonts w:hint="eastAsia"/>
                <w:color w:val="auto"/>
                <w:lang w:eastAsia="zh-CN"/>
              </w:rPr>
              <w:t>）</w:t>
            </w:r>
            <w:r>
              <w:rPr>
                <w:rFonts w:hint="eastAsia"/>
                <w:color w:val="auto"/>
                <w:lang w:val="en-US" w:eastAsia="zh-CN"/>
              </w:rPr>
              <w:t>服务</w:t>
            </w:r>
            <w:r>
              <w:rPr>
                <w:rFonts w:hint="eastAsia"/>
                <w:color w:val="auto"/>
                <w:lang w:eastAsia="zh-CN"/>
              </w:rPr>
              <w:t>评价。支持评价功能，用户可以对系统使用效果进行打分和评价留言。</w:t>
            </w:r>
          </w:p>
          <w:p w14:paraId="7A42A639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3）办理记录。支持自助查看申请记录、办理记录等内容。</w:t>
            </w:r>
          </w:p>
          <w:p w14:paraId="210BF6C7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（4）个人信息维护。如添加、修改个人手机号、邮箱等常规信息。</w:t>
            </w:r>
          </w:p>
          <w:p w14:paraId="10DCC7D7">
            <w:pPr>
              <w:pStyle w:val="20"/>
              <w:bidi w:val="0"/>
              <w:jc w:val="left"/>
              <w:rPr>
                <w:rFonts w:hint="eastAsia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3.文档验真</w:t>
            </w:r>
            <w:r>
              <w:rPr>
                <w:rFonts w:hint="eastAsia"/>
                <w:b/>
                <w:bCs/>
                <w:color w:val="auto"/>
                <w:highlight w:val="none"/>
              </w:rPr>
              <w:t>【此项需要现场演示】</w:t>
            </w:r>
          </w:p>
          <w:p w14:paraId="09427AAB">
            <w:pPr>
              <w:pStyle w:val="20"/>
              <w:bidi w:val="0"/>
              <w:jc w:val="left"/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▲</w:t>
            </w: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1</w:t>
            </w:r>
            <w:r>
              <w:rPr>
                <w:rFonts w:hint="eastAsia"/>
                <w:color w:val="auto"/>
                <w:lang w:eastAsia="zh-CN"/>
              </w:rPr>
              <w:t>）</w:t>
            </w:r>
            <w:r>
              <w:rPr>
                <w:rFonts w:hint="eastAsia"/>
                <w:color w:val="auto"/>
                <w:lang w:val="en-US" w:eastAsia="zh-CN"/>
              </w:rPr>
              <w:t>具备</w:t>
            </w:r>
            <w:r>
              <w:rPr>
                <w:rFonts w:hint="eastAsia"/>
                <w:color w:val="auto"/>
                <w:lang w:eastAsia="zh-CN"/>
              </w:rPr>
              <w:t>采用</w:t>
            </w:r>
            <w:r>
              <w:rPr>
                <w:rFonts w:hint="eastAsia"/>
                <w:color w:val="auto"/>
                <w:lang w:val="en-US" w:eastAsia="zh-CN"/>
              </w:rPr>
              <w:t>国际</w:t>
            </w:r>
            <w:r>
              <w:rPr>
                <w:rFonts w:hint="eastAsia"/>
                <w:color w:val="auto"/>
                <w:lang w:eastAsia="zh-CN"/>
              </w:rPr>
              <w:t>标准电子签章且签章证书由第三方权威CA（Certificate Authority）机构的</w:t>
            </w:r>
            <w:r>
              <w:rPr>
                <w:rFonts w:hint="eastAsia"/>
                <w:color w:val="auto"/>
                <w:lang w:val="en-US" w:eastAsia="zh-CN"/>
              </w:rPr>
              <w:t>验真功能</w:t>
            </w:r>
            <w:r>
              <w:rPr>
                <w:rFonts w:hint="eastAsia"/>
                <w:color w:val="auto"/>
                <w:lang w:eastAsia="zh-CN"/>
              </w:rPr>
              <w:t>。验证的内容包括文档内容是否篡改、是否使用时间戳、时间戳与签章时间一致性等。</w:t>
            </w:r>
          </w:p>
          <w:p w14:paraId="0B58A7CE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2）实现教育部“学信网”电子成绩单验证平台对接。实现电子成绩单可在“学信网”验证平台验证，并反馈展示验证结果。</w:t>
            </w:r>
          </w:p>
          <w:p w14:paraId="3B834006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3</w:t>
            </w:r>
            <w:r>
              <w:rPr>
                <w:rFonts w:hint="eastAsia"/>
                <w:color w:val="auto"/>
                <w:lang w:eastAsia="zh-CN"/>
              </w:rPr>
              <w:t>）验真报告需包含防伪二维码，支持</w:t>
            </w:r>
            <w:r>
              <w:rPr>
                <w:rFonts w:hint="eastAsia"/>
                <w:color w:val="auto"/>
                <w:lang w:val="en-US" w:eastAsia="zh-CN"/>
              </w:rPr>
              <w:t>电脑端及手机端便捷扫码验真，同时支持</w:t>
            </w:r>
            <w:r>
              <w:rPr>
                <w:rFonts w:hint="eastAsia"/>
                <w:color w:val="auto"/>
                <w:lang w:eastAsia="zh-CN"/>
              </w:rPr>
              <w:t>将验证结果形成验证结论报告</w:t>
            </w:r>
            <w:r>
              <w:rPr>
                <w:rFonts w:hint="eastAsia"/>
                <w:color w:val="auto"/>
                <w:lang w:val="en-US" w:eastAsia="zh-CN"/>
              </w:rPr>
              <w:t>并支持下载或发送至邮箱。</w:t>
            </w:r>
          </w:p>
        </w:tc>
        <w:tc>
          <w:tcPr>
            <w:tcW w:w="419" w:type="pct"/>
            <w:noWrap w:val="0"/>
            <w:vAlign w:val="center"/>
          </w:tcPr>
          <w:p w14:paraId="11A828C9">
            <w:pPr>
              <w:pStyle w:val="20"/>
              <w:bidi w:val="0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1</w:t>
            </w:r>
          </w:p>
        </w:tc>
      </w:tr>
      <w:tr w14:paraId="2B29D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" w:hRule="atLeast"/>
        </w:trPr>
        <w:tc>
          <w:tcPr>
            <w:tcW w:w="470" w:type="pct"/>
            <w:noWrap w:val="0"/>
            <w:vAlign w:val="center"/>
          </w:tcPr>
          <w:p w14:paraId="14ABC82C">
            <w:pPr>
              <w:pStyle w:val="20"/>
              <w:bidi w:val="0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3</w:t>
            </w:r>
          </w:p>
        </w:tc>
        <w:tc>
          <w:tcPr>
            <w:tcW w:w="552" w:type="pct"/>
            <w:noWrap w:val="0"/>
            <w:vAlign w:val="center"/>
          </w:tcPr>
          <w:p w14:paraId="6B1A4E5D">
            <w:pPr>
              <w:pStyle w:val="20"/>
              <w:bidi w:val="0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管理端系统要求</w:t>
            </w:r>
          </w:p>
        </w:tc>
        <w:tc>
          <w:tcPr>
            <w:tcW w:w="3558" w:type="pct"/>
            <w:noWrap w:val="0"/>
            <w:vAlign w:val="center"/>
          </w:tcPr>
          <w:p w14:paraId="73FF1C7F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提供稳定的系统管理端，应至少包含以下功能模块：</w:t>
            </w:r>
          </w:p>
          <w:p w14:paraId="342B5F7D">
            <w:pPr>
              <w:pStyle w:val="20"/>
              <w:bidi w:val="0"/>
              <w:jc w:val="left"/>
              <w:rPr>
                <w:rFonts w:hint="eastAsia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1.系统配置</w:t>
            </w:r>
          </w:p>
          <w:p w14:paraId="1AD1B231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支持管理员对系统的配置进行管理，包括数据字典、配置菜单等内容维护。</w:t>
            </w:r>
          </w:p>
          <w:p w14:paraId="776AA662">
            <w:pPr>
              <w:pStyle w:val="20"/>
              <w:bidi w:val="0"/>
              <w:jc w:val="left"/>
              <w:rPr>
                <w:rFonts w:hint="eastAsia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2.系统管理</w:t>
            </w:r>
          </w:p>
          <w:p w14:paraId="18778657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具备用户管理和用户类型维护功能。该功能需包含用户管理、角色管理、组织机构管理，需支持角色维护、用户维护和菜单授权等功能，可由管理员分配相应角色，并能对各用户进行灵活的权限设置。需支持用户锁定、激活以及用户导出，配置用户等级、用户类型、用户编码等信息。</w:t>
            </w:r>
          </w:p>
          <w:p w14:paraId="463DBB82">
            <w:pPr>
              <w:pStyle w:val="20"/>
              <w:bidi w:val="0"/>
              <w:jc w:val="left"/>
              <w:rPr>
                <w:rFonts w:hint="eastAsia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3.模板管理</w:t>
            </w:r>
            <w:r>
              <w:rPr>
                <w:rFonts w:hint="eastAsia"/>
                <w:b/>
                <w:bCs/>
                <w:color w:val="auto"/>
                <w:highlight w:val="none"/>
              </w:rPr>
              <w:t>【此项需要现场演示】</w:t>
            </w:r>
          </w:p>
          <w:p w14:paraId="438A3F5B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▲（1）提供网页端可视化模板设计器，支持在线设计、预览和调试，支持模板尺寸、页数及背景底图配置。</w:t>
            </w:r>
          </w:p>
          <w:p w14:paraId="6F7408D2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（2）支持PDF、Word、HTML等格式模板制作，支持文本、表格、二维码、图片、印章等元素配置及拖拽式排版。</w:t>
            </w:r>
          </w:p>
          <w:p w14:paraId="0C90800E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（3）支持模板字段与外部数据源、视图、用户填报、Excel导入、固定值等数据来源关联，实现动态内容填充。  </w:t>
            </w:r>
          </w:p>
          <w:p w14:paraId="62C58B30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（4）支持模板审核、发布、启用和禁用管理。  </w:t>
            </w:r>
          </w:p>
          <w:p w14:paraId="7F314749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（5）支持模板与用户身份类型关联，实现不同用户类型可用模板的权限控制。  </w:t>
            </w:r>
          </w:p>
          <w:p w14:paraId="40359941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（6）支持水印、印章、二维码防伪等个性化模板设计。</w:t>
            </w:r>
          </w:p>
          <w:p w14:paraId="18D451AF">
            <w:pPr>
              <w:pStyle w:val="20"/>
              <w:bidi w:val="0"/>
              <w:jc w:val="left"/>
              <w:rPr>
                <w:rFonts w:hint="eastAsia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4.签章管理</w:t>
            </w:r>
            <w:r>
              <w:rPr>
                <w:rFonts w:hint="eastAsia"/>
                <w:b/>
                <w:bCs/>
                <w:color w:val="auto"/>
                <w:highlight w:val="none"/>
              </w:rPr>
              <w:t xml:space="preserve">【此项需要现场演示】 </w:t>
            </w:r>
          </w:p>
          <w:p w14:paraId="591363C7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▲（1）提供证书管理模块，支持CA证书可视化管理、证书新增、加载、有效期管理、到期提醒、升级维护及启停控制；支持多CA机构证书接入、分类查询和连续发证服务保障，并支持同一PDF文件中包含多类型数字证书。  </w:t>
            </w:r>
          </w:p>
          <w:p w14:paraId="7B9A38C1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（2）提供印章管理模块，支持印章图片、印章名称、关联证书、所属部门等信息统一维护。  </w:t>
            </w:r>
          </w:p>
          <w:p w14:paraId="336CD65F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▲（3）提供</w:t>
            </w:r>
            <w:r>
              <w:rPr>
                <w:rFonts w:hint="eastAsia"/>
                <w:color w:val="auto"/>
              </w:rPr>
              <w:t>由合法第三方电子认证服务机构颁发的数字证书</w:t>
            </w:r>
            <w:r>
              <w:rPr>
                <w:rFonts w:hint="eastAsia"/>
                <w:color w:val="auto"/>
                <w:lang w:eastAsia="zh-CN"/>
              </w:rPr>
              <w:t>，</w:t>
            </w:r>
            <w:r>
              <w:rPr>
                <w:rFonts w:hint="eastAsia"/>
                <w:color w:val="auto"/>
              </w:rPr>
              <w:t>标识校内单位的网上真实身份。证书每年需更新</w:t>
            </w:r>
            <w:r>
              <w:rPr>
                <w:rFonts w:hint="eastAsia"/>
                <w:color w:val="auto"/>
                <w:lang w:eastAsia="zh-CN"/>
              </w:rPr>
              <w:t>，</w:t>
            </w:r>
            <w:r>
              <w:rPr>
                <w:rFonts w:hint="eastAsia"/>
                <w:color w:val="auto"/>
                <w:lang w:val="en-US" w:eastAsia="zh-CN"/>
              </w:rPr>
              <w:t>数字</w:t>
            </w:r>
            <w:r>
              <w:rPr>
                <w:rFonts w:hint="eastAsia"/>
                <w:color w:val="auto"/>
              </w:rPr>
              <w:t>证书</w:t>
            </w: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国产算法、国际算法）、</w:t>
            </w:r>
            <w:r>
              <w:rPr>
                <w:rFonts w:hint="eastAsia"/>
                <w:color w:val="auto"/>
              </w:rPr>
              <w:t>时间戳数字证书</w:t>
            </w: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国产算法、国际算法）各</w:t>
            </w:r>
            <w:r>
              <w:rPr>
                <w:rFonts w:hint="eastAsia"/>
                <w:color w:val="auto"/>
              </w:rPr>
              <w:t>1张</w:t>
            </w:r>
            <w:r>
              <w:rPr>
                <w:rFonts w:hint="eastAsia"/>
                <w:color w:val="auto"/>
                <w:lang w:eastAsia="zh-CN"/>
              </w:rPr>
              <w:t>，</w:t>
            </w:r>
            <w:r>
              <w:rPr>
                <w:rFonts w:hint="eastAsia"/>
                <w:color w:val="auto"/>
                <w:lang w:val="en-US" w:eastAsia="zh-CN"/>
              </w:rPr>
              <w:t>服务期内需保证证书有效使用</w:t>
            </w:r>
            <w:r>
              <w:rPr>
                <w:rFonts w:hint="eastAsia"/>
                <w:color w:val="auto"/>
              </w:rPr>
              <w:t>。</w:t>
            </w:r>
          </w:p>
          <w:p w14:paraId="224A7699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（4）支持文档编号、名称、用户类型、关键字定位、印章策略等签章规则配置。</w:t>
            </w:r>
          </w:p>
          <w:p w14:paraId="7F1FAC1E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（5）支持签章服务调用记录管理，记录申请人、文档、用户类型、签章时间等信息。</w:t>
            </w:r>
          </w:p>
          <w:p w14:paraId="021AB80E">
            <w:pPr>
              <w:pStyle w:val="20"/>
              <w:bidi w:val="0"/>
              <w:jc w:val="left"/>
              <w:rPr>
                <w:rFonts w:hint="eastAsia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5.审批流程引擎</w:t>
            </w:r>
          </w:p>
          <w:p w14:paraId="56E996AD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（1）支持可视化自定义审批流程，具备审批节点、负责人、审批规则及多级流程配置能力；</w:t>
            </w:r>
          </w:p>
          <w:p w14:paraId="4A07BE77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（2）支持审批消息推送至学校消息中心和自主流程维护。</w:t>
            </w:r>
          </w:p>
          <w:p w14:paraId="5A471347">
            <w:pPr>
              <w:pStyle w:val="20"/>
              <w:bidi w:val="0"/>
              <w:jc w:val="left"/>
              <w:rPr>
                <w:rFonts w:hint="eastAsia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6.数据管理</w:t>
            </w:r>
            <w:r>
              <w:rPr>
                <w:rFonts w:hint="eastAsia"/>
                <w:b/>
                <w:bCs/>
                <w:color w:val="auto"/>
                <w:highlight w:val="none"/>
              </w:rPr>
              <w:t>【此项需要现场演示】</w:t>
            </w:r>
          </w:p>
          <w:p w14:paraId="6022C207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（1）支持管理人员对用户的基本信息、学籍信息、成绩信息等进行管理。</w:t>
            </w:r>
          </w:p>
          <w:p w14:paraId="7A4D00DF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（2）支持管理人员对各种证照所需数据的导入导出管理。</w:t>
            </w:r>
          </w:p>
          <w:p w14:paraId="409AF78A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▲（3）</w:t>
            </w:r>
            <w:r>
              <w:rPr>
                <w:rFonts w:hint="eastAsia"/>
                <w:color w:val="auto"/>
              </w:rPr>
              <w:t>涉及</w:t>
            </w:r>
            <w:r>
              <w:rPr>
                <w:rFonts w:hint="eastAsia"/>
                <w:color w:val="auto"/>
                <w:lang w:val="en-US" w:eastAsia="zh-CN"/>
              </w:rPr>
              <w:t>师生</w:t>
            </w:r>
            <w:r>
              <w:rPr>
                <w:rFonts w:hint="eastAsia"/>
                <w:color w:val="auto"/>
              </w:rPr>
              <w:t>个人基本信息隐私数据等重要敏感数据，</w:t>
            </w:r>
            <w:r>
              <w:rPr>
                <w:rFonts w:hint="eastAsia"/>
                <w:color w:val="auto"/>
                <w:lang w:val="en-US" w:eastAsia="zh-CN"/>
              </w:rPr>
              <w:t>需进行加密及脱敏处理，</w:t>
            </w:r>
            <w:r>
              <w:rPr>
                <w:rFonts w:hint="eastAsia"/>
                <w:color w:val="auto"/>
              </w:rPr>
              <w:t>保障学校信息安全。</w:t>
            </w:r>
          </w:p>
          <w:p w14:paraId="39C7B3F9">
            <w:pPr>
              <w:pStyle w:val="20"/>
              <w:bidi w:val="0"/>
              <w:jc w:val="left"/>
              <w:rPr>
                <w:rFonts w:hint="eastAsia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7.翻译管理</w:t>
            </w:r>
            <w:r>
              <w:rPr>
                <w:rFonts w:hint="eastAsia"/>
                <w:b/>
                <w:bCs/>
                <w:color w:val="auto"/>
                <w:highlight w:val="none"/>
              </w:rPr>
              <w:t>【此项需要现场演示】</w:t>
            </w:r>
          </w:p>
          <w:p w14:paraId="794E3A5D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▲（1）支持课程名称、专业名称、学院名称、学位名称、班级名称、姓名等中英文翻译管理，具备模板下载、数据导入导出、单条维护、缺失数据查询与导出等功能。  </w:t>
            </w:r>
          </w:p>
          <w:p w14:paraId="1787E99D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（2）内置通用专有名词和课程中英文对照数据，并支持管理员维护更新。  </w:t>
            </w:r>
          </w:p>
          <w:p w14:paraId="796DF8EB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（3）支持英文文档生成前的翻译完整性校验，对缺失翻译数据进行限制和提醒。  </w:t>
            </w:r>
          </w:p>
          <w:p w14:paraId="35CBE40E">
            <w:pPr>
              <w:pStyle w:val="20"/>
              <w:bidi w:val="0"/>
              <w:jc w:val="left"/>
              <w:rPr>
                <w:rFonts w:hint="eastAsia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8.支付管理</w:t>
            </w:r>
          </w:p>
          <w:p w14:paraId="539D5DCF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（1）支持按用户角色、文档类型配置收费标准。</w:t>
            </w:r>
          </w:p>
          <w:p w14:paraId="21583C0E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（2）支持订单管理，记录支付编号、支付方式、支付金额、日期等信息。</w:t>
            </w:r>
          </w:p>
          <w:p w14:paraId="159CF868">
            <w:pPr>
              <w:pStyle w:val="20"/>
              <w:bidi w:val="0"/>
              <w:jc w:val="left"/>
              <w:rPr>
                <w:rFonts w:hint="eastAsia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9.统计分析</w:t>
            </w:r>
          </w:p>
          <w:p w14:paraId="2F784C88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需支持对下载记录按不同的时间段、下载类型、支付方式等进行统计分析，同时按学院、年级、班级等统计展示。</w:t>
            </w:r>
          </w:p>
          <w:p w14:paraId="3A18B62D">
            <w:pPr>
              <w:pStyle w:val="20"/>
              <w:bidi w:val="0"/>
              <w:jc w:val="left"/>
              <w:rPr>
                <w:rFonts w:hint="eastAsia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10.日志管理</w:t>
            </w:r>
          </w:p>
          <w:p w14:paraId="4BEC0C14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需记录完善的日志文件，方便事后统计在校生、毕业生、教职工申请电子文档和电子证照的行为；记录用户操作历史等信息以日志的形式记录、存储，并可实现实时导出、统计、报表等功能。</w:t>
            </w:r>
          </w:p>
        </w:tc>
        <w:tc>
          <w:tcPr>
            <w:tcW w:w="419" w:type="pct"/>
            <w:noWrap w:val="0"/>
            <w:vAlign w:val="center"/>
          </w:tcPr>
          <w:p w14:paraId="79E7EAC8">
            <w:pPr>
              <w:pStyle w:val="20"/>
              <w:bidi w:val="0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1</w:t>
            </w:r>
          </w:p>
        </w:tc>
      </w:tr>
      <w:tr w14:paraId="116C3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470" w:type="pct"/>
            <w:noWrap w:val="0"/>
            <w:vAlign w:val="center"/>
          </w:tcPr>
          <w:p w14:paraId="2F2B113A">
            <w:pPr>
              <w:pStyle w:val="20"/>
              <w:bidi w:val="0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4</w:t>
            </w:r>
          </w:p>
        </w:tc>
        <w:tc>
          <w:tcPr>
            <w:tcW w:w="552" w:type="pct"/>
            <w:noWrap w:val="0"/>
            <w:vAlign w:val="center"/>
          </w:tcPr>
          <w:p w14:paraId="06883B2C">
            <w:pPr>
              <w:pStyle w:val="20"/>
              <w:bidi w:val="0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报表定制及系统集成</w:t>
            </w:r>
          </w:p>
        </w:tc>
        <w:tc>
          <w:tcPr>
            <w:tcW w:w="3558" w:type="pct"/>
            <w:noWrap w:val="0"/>
            <w:vAlign w:val="center"/>
          </w:tcPr>
          <w:p w14:paraId="63AD7788">
            <w:pPr>
              <w:pStyle w:val="20"/>
              <w:bidi w:val="0"/>
              <w:jc w:val="left"/>
              <w:rPr>
                <w:rFonts w:hint="eastAsia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 xml:space="preserve">1.报表定制服务 </w:t>
            </w:r>
          </w:p>
          <w:p w14:paraId="6C994093">
            <w:pPr>
              <w:pStyle w:val="20"/>
              <w:bidi w:val="0"/>
              <w:jc w:val="left"/>
              <w:rPr>
                <w:rFonts w:hint="eastAsia"/>
                <w:color w:val="auto"/>
                <w:lang w:val="zh-CN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需免费提供定制开发符合学校各部门实际要求的报表及模板服务，具体数量以学校实际要求为准，服务期内</w:t>
            </w:r>
            <w:r>
              <w:rPr>
                <w:rFonts w:hint="eastAsia"/>
                <w:color w:val="auto"/>
                <w:lang w:val="zh-CN" w:eastAsia="zh-CN"/>
              </w:rPr>
              <w:t>不限制报表及模板增加数量。</w:t>
            </w:r>
          </w:p>
          <w:p w14:paraId="06989E69">
            <w:pPr>
              <w:pStyle w:val="20"/>
              <w:bidi w:val="0"/>
              <w:jc w:val="left"/>
              <w:rPr>
                <w:rFonts w:hint="eastAsia"/>
                <w:b/>
                <w:bCs/>
                <w:color w:val="auto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lang w:val="en-US" w:eastAsia="zh-CN"/>
              </w:rPr>
              <w:t>2.数据集成服务</w:t>
            </w:r>
          </w:p>
          <w:p w14:paraId="3C725AF1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（1）需提供多种数据源之间数据集成实施服务，具体数据集成包含内容如下：包含数据中心、教务管理系统、人事管理系统等报表所需应用系统数据集成服务，实现数据互联共享。</w:t>
            </w:r>
          </w:p>
          <w:p w14:paraId="4ED8926B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（2）定制</w:t>
            </w:r>
            <w:r>
              <w:rPr>
                <w:rFonts w:hint="eastAsia"/>
                <w:color w:val="auto"/>
              </w:rPr>
              <w:t>数据可视化分析大屏展示</w:t>
            </w:r>
            <w:r>
              <w:rPr>
                <w:rFonts w:hint="eastAsia"/>
                <w:color w:val="auto"/>
                <w:lang w:eastAsia="zh-CN"/>
              </w:rPr>
              <w:t>。</w:t>
            </w:r>
            <w:r>
              <w:rPr>
                <w:rFonts w:hint="eastAsia"/>
                <w:color w:val="auto"/>
              </w:rPr>
              <w:t>实时统计分析各项运维数据，对面向全校师生开放服务的各类表单的运行状况进行可视化监控</w:t>
            </w:r>
            <w:r>
              <w:rPr>
                <w:rFonts w:hint="eastAsia"/>
                <w:color w:val="auto"/>
                <w:lang w:eastAsia="zh-CN"/>
              </w:rPr>
              <w:t>。</w:t>
            </w:r>
          </w:p>
        </w:tc>
        <w:tc>
          <w:tcPr>
            <w:tcW w:w="419" w:type="pct"/>
            <w:noWrap w:val="0"/>
            <w:vAlign w:val="center"/>
          </w:tcPr>
          <w:p w14:paraId="178973E6">
            <w:pPr>
              <w:pStyle w:val="20"/>
              <w:bidi w:val="0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1</w:t>
            </w:r>
          </w:p>
        </w:tc>
      </w:tr>
      <w:tr w14:paraId="1432A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470" w:type="pct"/>
            <w:noWrap w:val="0"/>
            <w:vAlign w:val="center"/>
          </w:tcPr>
          <w:p w14:paraId="22DC4AF9">
            <w:pPr>
              <w:pStyle w:val="20"/>
              <w:bidi w:val="0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5</w:t>
            </w:r>
          </w:p>
        </w:tc>
        <w:tc>
          <w:tcPr>
            <w:tcW w:w="552" w:type="pct"/>
            <w:noWrap w:val="0"/>
            <w:vAlign w:val="center"/>
          </w:tcPr>
          <w:p w14:paraId="0F7F1E60">
            <w:pPr>
              <w:pStyle w:val="20"/>
              <w:bidi w:val="0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专用密码服务器</w:t>
            </w:r>
          </w:p>
        </w:tc>
        <w:tc>
          <w:tcPr>
            <w:tcW w:w="3558" w:type="pct"/>
            <w:noWrap w:val="0"/>
            <w:vAlign w:val="center"/>
          </w:tcPr>
          <w:p w14:paraId="3B449154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为保障学校数据安全，需本地化部署</w:t>
            </w:r>
            <w:r>
              <w:rPr>
                <w:rFonts w:hint="eastAsia"/>
                <w:color w:val="auto"/>
              </w:rPr>
              <w:t>专用密码</w:t>
            </w:r>
            <w:r>
              <w:rPr>
                <w:rFonts w:hint="eastAsia"/>
                <w:color w:val="auto"/>
                <w:lang w:val="en-US" w:eastAsia="zh-CN"/>
              </w:rPr>
              <w:t>管理</w:t>
            </w:r>
            <w:r>
              <w:rPr>
                <w:rFonts w:hint="eastAsia"/>
                <w:color w:val="auto"/>
              </w:rPr>
              <w:t>设备</w:t>
            </w:r>
            <w:r>
              <w:rPr>
                <w:rFonts w:hint="eastAsia"/>
                <w:color w:val="auto"/>
                <w:lang w:eastAsia="zh-CN"/>
              </w:rPr>
              <w:t>，</w:t>
            </w:r>
            <w:r>
              <w:rPr>
                <w:rFonts w:hint="eastAsia"/>
                <w:color w:val="auto"/>
              </w:rPr>
              <w:t>向可信平台系统提供电子签名、PDF签章、签名验证、时间戳等服务。</w:t>
            </w:r>
            <w:r>
              <w:rPr>
                <w:rFonts w:hint="eastAsia"/>
                <w:color w:val="auto"/>
                <w:lang w:val="en-US" w:eastAsia="zh-CN"/>
              </w:rPr>
              <w:t>服务器需满足：</w:t>
            </w:r>
          </w:p>
          <w:p w14:paraId="4C5DDEE2">
            <w:pPr>
              <w:pStyle w:val="20"/>
              <w:bidi w:val="0"/>
              <w:jc w:val="left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1</w:t>
            </w:r>
            <w:r>
              <w:rPr>
                <w:rFonts w:hint="eastAsia"/>
                <w:color w:val="auto"/>
                <w:lang w:eastAsia="zh-CN"/>
              </w:rPr>
              <w:t>）</w:t>
            </w:r>
            <w:r>
              <w:rPr>
                <w:rFonts w:hint="eastAsia"/>
                <w:color w:val="auto"/>
              </w:rPr>
              <w:t>标准机架式服务器，设备高度2U。</w:t>
            </w:r>
          </w:p>
          <w:p w14:paraId="07C63DCC">
            <w:pPr>
              <w:pStyle w:val="20"/>
              <w:bidi w:val="0"/>
              <w:jc w:val="left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2</w:t>
            </w:r>
            <w:r>
              <w:rPr>
                <w:rFonts w:hint="eastAsia"/>
                <w:color w:val="auto"/>
                <w:lang w:eastAsia="zh-CN"/>
              </w:rPr>
              <w:t>）</w:t>
            </w:r>
            <w:r>
              <w:rPr>
                <w:rFonts w:hint="eastAsia"/>
                <w:color w:val="auto"/>
              </w:rPr>
              <w:t>配置内存≥16GB，存储≥2TB机械硬盘或固态硬盘。</w:t>
            </w:r>
          </w:p>
          <w:p w14:paraId="749A4B45">
            <w:pPr>
              <w:pStyle w:val="20"/>
              <w:bidi w:val="0"/>
              <w:jc w:val="left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3</w:t>
            </w:r>
            <w:r>
              <w:rPr>
                <w:rFonts w:hint="eastAsia"/>
                <w:color w:val="auto"/>
                <w:lang w:eastAsia="zh-CN"/>
              </w:rPr>
              <w:t>）</w:t>
            </w:r>
            <w:r>
              <w:rPr>
                <w:rFonts w:hint="eastAsia"/>
                <w:color w:val="auto"/>
              </w:rPr>
              <w:t>配置≥2个1000M自适应以太网接口。</w:t>
            </w:r>
          </w:p>
          <w:p w14:paraId="6CAAC3B1">
            <w:pPr>
              <w:pStyle w:val="20"/>
              <w:bidi w:val="0"/>
              <w:jc w:val="left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4</w:t>
            </w:r>
            <w:r>
              <w:rPr>
                <w:rFonts w:hint="eastAsia"/>
                <w:color w:val="auto"/>
                <w:lang w:eastAsia="zh-CN"/>
              </w:rPr>
              <w:t>）</w:t>
            </w:r>
            <w:r>
              <w:rPr>
                <w:rFonts w:hint="eastAsia"/>
                <w:color w:val="auto"/>
              </w:rPr>
              <w:t>支持Windows Server、主流Linux操作系统及各类应用平台。</w:t>
            </w:r>
          </w:p>
          <w:p w14:paraId="5C012593">
            <w:pPr>
              <w:pStyle w:val="20"/>
              <w:bidi w:val="0"/>
              <w:jc w:val="left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5</w:t>
            </w:r>
            <w:r>
              <w:rPr>
                <w:rFonts w:hint="eastAsia"/>
                <w:color w:val="auto"/>
                <w:lang w:eastAsia="zh-CN"/>
              </w:rPr>
              <w:t>）</w:t>
            </w:r>
            <w:r>
              <w:rPr>
                <w:rFonts w:hint="eastAsia"/>
                <w:color w:val="auto"/>
              </w:rPr>
              <w:t>硬件支持国家商用密码算法SM2、SM3、SM4，以及通用密码算法RSA、SHA256等算法标准。</w:t>
            </w:r>
          </w:p>
          <w:p w14:paraId="40CDB044">
            <w:pPr>
              <w:pStyle w:val="20"/>
              <w:bidi w:val="0"/>
              <w:jc w:val="left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6</w:t>
            </w:r>
            <w:r>
              <w:rPr>
                <w:rFonts w:hint="eastAsia"/>
                <w:color w:val="auto"/>
                <w:lang w:eastAsia="zh-CN"/>
              </w:rPr>
              <w:t>）</w:t>
            </w:r>
            <w:r>
              <w:rPr>
                <w:rFonts w:hint="eastAsia"/>
                <w:color w:val="auto"/>
              </w:rPr>
              <w:t>标配硬件时间源模块，内置国家授时中心时间源，支持基于SNTP/NTP协议从指定时间源设备获取标准时间并实现全网全时段精准同步。</w:t>
            </w:r>
          </w:p>
          <w:p w14:paraId="658DF88D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7</w:t>
            </w:r>
            <w:r>
              <w:rPr>
                <w:rFonts w:hint="eastAsia"/>
                <w:color w:val="auto"/>
                <w:lang w:eastAsia="zh-CN"/>
              </w:rPr>
              <w:t>）</w:t>
            </w:r>
            <w:r>
              <w:rPr>
                <w:rFonts w:hint="eastAsia"/>
                <w:color w:val="auto"/>
              </w:rPr>
              <w:t>签章及签名密码模块安全机制须满足GB/T37092-2018《信息安全技术 密码模块安全技术要求》安全二级及以上要求（或符合GM/T0028-2014标准安全二级及以上要求），具备国家密码管理局商用密码检测中心颁发的处于有效期内的《商用密码产品认证证书》。</w:t>
            </w:r>
          </w:p>
        </w:tc>
        <w:tc>
          <w:tcPr>
            <w:tcW w:w="419" w:type="pct"/>
            <w:noWrap w:val="0"/>
            <w:vAlign w:val="center"/>
          </w:tcPr>
          <w:p w14:paraId="050AC521">
            <w:pPr>
              <w:pStyle w:val="20"/>
              <w:bidi w:val="0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1</w:t>
            </w:r>
          </w:p>
        </w:tc>
      </w:tr>
      <w:tr w14:paraId="0E308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470" w:type="pct"/>
            <w:noWrap w:val="0"/>
            <w:vAlign w:val="center"/>
          </w:tcPr>
          <w:p w14:paraId="41771DC1">
            <w:pPr>
              <w:pStyle w:val="20"/>
              <w:bidi w:val="0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6</w:t>
            </w:r>
          </w:p>
        </w:tc>
        <w:tc>
          <w:tcPr>
            <w:tcW w:w="552" w:type="pct"/>
            <w:noWrap w:val="0"/>
            <w:vAlign w:val="center"/>
          </w:tcPr>
          <w:p w14:paraId="2006133E">
            <w:pPr>
              <w:pStyle w:val="20"/>
              <w:bidi w:val="0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其他要求</w:t>
            </w:r>
          </w:p>
        </w:tc>
        <w:tc>
          <w:tcPr>
            <w:tcW w:w="3558" w:type="pct"/>
            <w:noWrap w:val="0"/>
            <w:vAlign w:val="center"/>
          </w:tcPr>
          <w:p w14:paraId="4953B5A4">
            <w:pPr>
              <w:pStyle w:val="20"/>
              <w:bidi w:val="0"/>
              <w:jc w:val="left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>1.</w:t>
            </w:r>
            <w:r>
              <w:rPr>
                <w:rFonts w:hint="eastAsia"/>
                <w:color w:val="auto"/>
              </w:rPr>
              <w:t>为满足国产化和信创要求，产品须支持并适配主流国产数据库、国产处理器、中间件和国产服务器操作系统，并提供适配案例及项目合同。</w:t>
            </w:r>
          </w:p>
          <w:p w14:paraId="3440836B">
            <w:pPr>
              <w:pStyle w:val="20"/>
              <w:bidi w:val="0"/>
              <w:jc w:val="left"/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2.系统应符合网络安全等级保护2.0相关要求，供应商应具备同类系统等级保护测评案例，并提供相关证明材料。</w:t>
            </w:r>
          </w:p>
        </w:tc>
        <w:tc>
          <w:tcPr>
            <w:tcW w:w="419" w:type="pct"/>
            <w:noWrap w:val="0"/>
            <w:vAlign w:val="center"/>
          </w:tcPr>
          <w:p w14:paraId="7D58FCE3">
            <w:pPr>
              <w:pStyle w:val="20"/>
              <w:bidi w:val="0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>1</w:t>
            </w:r>
          </w:p>
        </w:tc>
      </w:tr>
      <w:bookmarkEnd w:id="0"/>
    </w:tbl>
    <w:p w14:paraId="1369BAE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9B516C"/>
    <w:rsid w:val="00070FC8"/>
    <w:rsid w:val="003F4F10"/>
    <w:rsid w:val="01945F0D"/>
    <w:rsid w:val="03695A7E"/>
    <w:rsid w:val="041C0406"/>
    <w:rsid w:val="04F86854"/>
    <w:rsid w:val="056D213B"/>
    <w:rsid w:val="09581E0B"/>
    <w:rsid w:val="09661480"/>
    <w:rsid w:val="0AFC0872"/>
    <w:rsid w:val="0BD54C38"/>
    <w:rsid w:val="0C9E7A33"/>
    <w:rsid w:val="0CCE2B32"/>
    <w:rsid w:val="1262753D"/>
    <w:rsid w:val="13FD6130"/>
    <w:rsid w:val="140E0EC4"/>
    <w:rsid w:val="147C5547"/>
    <w:rsid w:val="15705A0C"/>
    <w:rsid w:val="188B3505"/>
    <w:rsid w:val="1B253563"/>
    <w:rsid w:val="1D3764AF"/>
    <w:rsid w:val="1D9E4A5B"/>
    <w:rsid w:val="1E463B44"/>
    <w:rsid w:val="1EFA1543"/>
    <w:rsid w:val="1FD837FF"/>
    <w:rsid w:val="2156503C"/>
    <w:rsid w:val="22443F19"/>
    <w:rsid w:val="229E3FE6"/>
    <w:rsid w:val="23841FE2"/>
    <w:rsid w:val="2572590B"/>
    <w:rsid w:val="279D4A03"/>
    <w:rsid w:val="28273A7C"/>
    <w:rsid w:val="2A0F46C9"/>
    <w:rsid w:val="2A59588F"/>
    <w:rsid w:val="2A9B516C"/>
    <w:rsid w:val="2BB30485"/>
    <w:rsid w:val="2BD074BC"/>
    <w:rsid w:val="2DD545E4"/>
    <w:rsid w:val="2E2B7622"/>
    <w:rsid w:val="2F792957"/>
    <w:rsid w:val="316C37E1"/>
    <w:rsid w:val="31AC7601"/>
    <w:rsid w:val="328016EB"/>
    <w:rsid w:val="33255F19"/>
    <w:rsid w:val="33B76E22"/>
    <w:rsid w:val="34072559"/>
    <w:rsid w:val="34580245"/>
    <w:rsid w:val="3529097C"/>
    <w:rsid w:val="359D7DF2"/>
    <w:rsid w:val="35D3262D"/>
    <w:rsid w:val="37384EA6"/>
    <w:rsid w:val="37D746BF"/>
    <w:rsid w:val="37EB63BB"/>
    <w:rsid w:val="38B83436"/>
    <w:rsid w:val="38C51523"/>
    <w:rsid w:val="38E66C78"/>
    <w:rsid w:val="3954329D"/>
    <w:rsid w:val="3A547742"/>
    <w:rsid w:val="3A876CAF"/>
    <w:rsid w:val="3B5C400D"/>
    <w:rsid w:val="3BA4698B"/>
    <w:rsid w:val="3C70268B"/>
    <w:rsid w:val="3D711112"/>
    <w:rsid w:val="3F6842E5"/>
    <w:rsid w:val="3F787D27"/>
    <w:rsid w:val="42843912"/>
    <w:rsid w:val="428471F1"/>
    <w:rsid w:val="434033E5"/>
    <w:rsid w:val="43584653"/>
    <w:rsid w:val="440F052B"/>
    <w:rsid w:val="444E2D35"/>
    <w:rsid w:val="451A4083"/>
    <w:rsid w:val="464F0AA0"/>
    <w:rsid w:val="470E332D"/>
    <w:rsid w:val="47F449BF"/>
    <w:rsid w:val="486A6177"/>
    <w:rsid w:val="48F73E0E"/>
    <w:rsid w:val="4CDE6A97"/>
    <w:rsid w:val="4D2C0C77"/>
    <w:rsid w:val="4D31095B"/>
    <w:rsid w:val="503D5436"/>
    <w:rsid w:val="51BA62F1"/>
    <w:rsid w:val="53AD2C2D"/>
    <w:rsid w:val="5427247B"/>
    <w:rsid w:val="54803B90"/>
    <w:rsid w:val="560D6F51"/>
    <w:rsid w:val="56C86F6D"/>
    <w:rsid w:val="56E122FB"/>
    <w:rsid w:val="5825126E"/>
    <w:rsid w:val="5A581238"/>
    <w:rsid w:val="5BE11727"/>
    <w:rsid w:val="5C66723E"/>
    <w:rsid w:val="5D131446"/>
    <w:rsid w:val="5D1564AC"/>
    <w:rsid w:val="5D572A52"/>
    <w:rsid w:val="5F2B0CC9"/>
    <w:rsid w:val="620852F1"/>
    <w:rsid w:val="639F579F"/>
    <w:rsid w:val="64025AB8"/>
    <w:rsid w:val="64674C53"/>
    <w:rsid w:val="673C6346"/>
    <w:rsid w:val="676F425C"/>
    <w:rsid w:val="67C12E69"/>
    <w:rsid w:val="67DD6BED"/>
    <w:rsid w:val="69F91AE9"/>
    <w:rsid w:val="6A0619EB"/>
    <w:rsid w:val="6A082CE3"/>
    <w:rsid w:val="6C7E2CAC"/>
    <w:rsid w:val="6CEC129F"/>
    <w:rsid w:val="6DD966FB"/>
    <w:rsid w:val="6F36347B"/>
    <w:rsid w:val="6FB5018B"/>
    <w:rsid w:val="6FC935DB"/>
    <w:rsid w:val="7072622A"/>
    <w:rsid w:val="70CD1B9F"/>
    <w:rsid w:val="71EA7315"/>
    <w:rsid w:val="72AC1CC9"/>
    <w:rsid w:val="7312541D"/>
    <w:rsid w:val="741D2E7E"/>
    <w:rsid w:val="753A6D9B"/>
    <w:rsid w:val="76127D2C"/>
    <w:rsid w:val="76193FBE"/>
    <w:rsid w:val="766D75CC"/>
    <w:rsid w:val="774F0B38"/>
    <w:rsid w:val="77C307FF"/>
    <w:rsid w:val="77FA5285"/>
    <w:rsid w:val="788A35B0"/>
    <w:rsid w:val="79F74C45"/>
    <w:rsid w:val="7A0D5D0B"/>
    <w:rsid w:val="7AE074CB"/>
    <w:rsid w:val="7B1B065A"/>
    <w:rsid w:val="7B232107"/>
    <w:rsid w:val="7C0F2859"/>
    <w:rsid w:val="7C4F1CC3"/>
    <w:rsid w:val="7E6E636B"/>
    <w:rsid w:val="7ED57FAF"/>
    <w:rsid w:val="7F0C0D77"/>
    <w:rsid w:val="7F1033A7"/>
    <w:rsid w:val="7FC9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autoRedefine/>
    <w:qFormat/>
    <w:uiPriority w:val="0"/>
    <w:pPr>
      <w:keepNext/>
      <w:adjustRightInd w:val="0"/>
      <w:snapToGrid w:val="0"/>
      <w:spacing w:before="50" w:beforeLines="50" w:after="50" w:afterLines="50" w:line="360" w:lineRule="auto"/>
      <w:jc w:val="center"/>
      <w:outlineLvl w:val="0"/>
    </w:pPr>
    <w:rPr>
      <w:rFonts w:ascii="宋体" w:hAnsi="宋体" w:eastAsia="宋体" w:cs="宋体"/>
      <w:b/>
      <w:snapToGrid w:val="0"/>
      <w:color w:val="000000"/>
      <w:kern w:val="0"/>
      <w:sz w:val="32"/>
      <w:szCs w:val="22"/>
      <w:lang w:eastAsia="en-US"/>
    </w:rPr>
  </w:style>
  <w:style w:type="paragraph" w:styleId="3">
    <w:name w:val="heading 2"/>
    <w:basedOn w:val="1"/>
    <w:next w:val="1"/>
    <w:link w:val="16"/>
    <w:autoRedefine/>
    <w:semiHidden/>
    <w:unhideWhenUsed/>
    <w:qFormat/>
    <w:uiPriority w:val="0"/>
    <w:pPr>
      <w:keepNext/>
      <w:keepLines/>
      <w:jc w:val="center"/>
      <w:outlineLvl w:val="1"/>
    </w:pPr>
    <w:rPr>
      <w:rFonts w:ascii="宋体" w:hAnsi="宋体" w:eastAsia="宋体" w:cs="宋体"/>
      <w:b/>
      <w:bCs/>
      <w:color w:val="000000"/>
      <w:kern w:val="0"/>
      <w:sz w:val="30"/>
      <w:szCs w:val="32"/>
      <w:highlight w:val="none"/>
    </w:rPr>
  </w:style>
  <w:style w:type="paragraph" w:styleId="4">
    <w:name w:val="heading 3"/>
    <w:basedOn w:val="1"/>
    <w:next w:val="1"/>
    <w:link w:val="17"/>
    <w:autoRedefine/>
    <w:semiHidden/>
    <w:unhideWhenUsed/>
    <w:qFormat/>
    <w:uiPriority w:val="0"/>
    <w:pPr>
      <w:keepNext/>
      <w:keepLines/>
      <w:spacing w:before="260" w:after="260" w:line="416" w:lineRule="auto"/>
      <w:jc w:val="left"/>
      <w:outlineLvl w:val="2"/>
    </w:pPr>
    <w:rPr>
      <w:rFonts w:ascii="Times New Roman" w:hAnsi="Times New Roman" w:eastAsia="宋体"/>
      <w:b/>
      <w:bCs/>
      <w:sz w:val="32"/>
      <w:szCs w:val="32"/>
    </w:rPr>
  </w:style>
  <w:style w:type="paragraph" w:styleId="5">
    <w:name w:val="heading 4"/>
    <w:basedOn w:val="1"/>
    <w:next w:val="1"/>
    <w:link w:val="21"/>
    <w:autoRedefine/>
    <w:semiHidden/>
    <w:unhideWhenUsed/>
    <w:qFormat/>
    <w:uiPriority w:val="0"/>
    <w:pPr>
      <w:keepNext/>
      <w:keepLines/>
      <w:adjustRightInd w:val="0"/>
      <w:snapToGrid w:val="0"/>
      <w:spacing w:line="360" w:lineRule="auto"/>
      <w:ind w:firstLine="0" w:firstLineChars="0"/>
      <w:jc w:val="left"/>
      <w:outlineLvl w:val="3"/>
    </w:pPr>
    <w:rPr>
      <w:rFonts w:ascii="宋体" w:hAnsi="宋体" w:eastAsia="宋体" w:cs="宋体"/>
      <w:b/>
      <w:bCs/>
      <w:sz w:val="28"/>
      <w:szCs w:val="28"/>
    </w:rPr>
  </w:style>
  <w:style w:type="paragraph" w:styleId="6">
    <w:name w:val="heading 5"/>
    <w:basedOn w:val="1"/>
    <w:next w:val="1"/>
    <w:link w:val="23"/>
    <w:autoRedefine/>
    <w:semiHidden/>
    <w:unhideWhenUsed/>
    <w:qFormat/>
    <w:uiPriority w:val="0"/>
    <w:pPr>
      <w:keepNext/>
      <w:keepLines/>
      <w:adjustRightInd w:val="0"/>
      <w:spacing w:line="360" w:lineRule="auto"/>
      <w:ind w:firstLine="0" w:firstLineChars="0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22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宋体" w:cs="Times New Roman"/>
      <w:b/>
      <w:sz w:val="28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jc w:val="center"/>
      <w:outlineLvl w:val="6"/>
    </w:pPr>
    <w:rPr>
      <w:rFonts w:asciiTheme="minorAscii" w:hAnsiTheme="minorAscii" w:eastAsiaTheme="minorEastAsia" w:cstheme="minorBidi"/>
      <w:b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7"/>
    </w:pPr>
    <w:rPr>
      <w:rFonts w:ascii="Arial" w:hAnsi="Arial" w:eastAsia="新宋体" w:cs="Times New Roman"/>
      <w:sz w:val="24"/>
    </w:rPr>
  </w:style>
  <w:style w:type="character" w:default="1" w:styleId="15">
    <w:name w:val="Default Paragraph Font"/>
    <w:autoRedefine/>
    <w:semiHidden/>
    <w:qFormat/>
    <w:uiPriority w:val="0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ody Text"/>
    <w:basedOn w:val="1"/>
    <w:next w:val="1"/>
    <w:link w:val="19"/>
    <w:qFormat/>
    <w:uiPriority w:val="0"/>
    <w:pPr>
      <w:adjustRightInd w:val="0"/>
      <w:snapToGrid w:val="0"/>
      <w:spacing w:before="120" w:line="360" w:lineRule="auto"/>
      <w:ind w:left="215" w:firstLine="1044" w:firstLineChars="200"/>
      <w:jc w:val="left"/>
    </w:pPr>
    <w:rPr>
      <w:rFonts w:ascii="宋体" w:hAnsi="宋体" w:cs="宋体"/>
      <w:szCs w:val="28"/>
      <w:lang w:val="zh-CN" w:bidi="zh-CN"/>
    </w:rPr>
  </w:style>
  <w:style w:type="paragraph" w:styleId="11">
    <w:name w:val="toc 1"/>
    <w:basedOn w:val="1"/>
    <w:next w:val="1"/>
    <w:qFormat/>
    <w:uiPriority w:val="0"/>
    <w:rPr>
      <w:rFonts w:asciiTheme="minorAscii" w:hAnsiTheme="minorAscii" w:eastAsiaTheme="minorEastAsia" w:cstheme="minorBidi"/>
      <w:b/>
      <w:sz w:val="28"/>
      <w:szCs w:val="24"/>
    </w:rPr>
  </w:style>
  <w:style w:type="paragraph" w:styleId="12">
    <w:name w:val="toc 2"/>
    <w:basedOn w:val="1"/>
    <w:next w:val="1"/>
    <w:qFormat/>
    <w:uiPriority w:val="0"/>
    <w:pPr>
      <w:ind w:left="420" w:leftChars="200"/>
    </w:pPr>
    <w:rPr>
      <w:rFonts w:asciiTheme="minorAscii" w:hAnsiTheme="minorAscii" w:eastAsiaTheme="minorEastAsia" w:cstheme="minorBidi"/>
      <w:b/>
      <w:szCs w:val="24"/>
    </w:rPr>
  </w:style>
  <w:style w:type="table" w:styleId="14">
    <w:name w:val="Table Grid"/>
    <w:basedOn w:val="13"/>
    <w:qFormat/>
    <w:uiPriority w:val="0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标题 2 字符"/>
    <w:link w:val="3"/>
    <w:autoRedefine/>
    <w:qFormat/>
    <w:uiPriority w:val="9"/>
    <w:rPr>
      <w:rFonts w:ascii="宋体" w:hAnsi="宋体" w:eastAsia="宋体" w:cs="宋体"/>
      <w:b/>
      <w:bCs/>
      <w:color w:val="000000"/>
      <w:kern w:val="0"/>
      <w:sz w:val="30"/>
      <w:szCs w:val="32"/>
      <w:highlight w:val="none"/>
      <w:lang w:val="en-US" w:eastAsia="zh-CN" w:bidi="ar-SA"/>
    </w:rPr>
  </w:style>
  <w:style w:type="character" w:customStyle="1" w:styleId="17">
    <w:name w:val="标题 3 字符1"/>
    <w:link w:val="4"/>
    <w:autoRedefine/>
    <w:qFormat/>
    <w:uiPriority w:val="0"/>
    <w:rPr>
      <w:rFonts w:ascii="Times New Roman" w:hAnsi="Times New Roman" w:eastAsia="宋体" w:cs="宋体"/>
      <w:b/>
      <w:sz w:val="28"/>
      <w:szCs w:val="24"/>
    </w:rPr>
  </w:style>
  <w:style w:type="character" w:customStyle="1" w:styleId="18">
    <w:name w:val="标题 1 字符"/>
    <w:link w:val="2"/>
    <w:autoRedefine/>
    <w:qFormat/>
    <w:uiPriority w:val="0"/>
    <w:rPr>
      <w:rFonts w:ascii="宋体" w:hAnsi="宋体" w:eastAsia="宋体" w:cs="宋体"/>
      <w:b/>
      <w:snapToGrid w:val="0"/>
      <w:color w:val="000000"/>
      <w:kern w:val="0"/>
      <w:sz w:val="32"/>
      <w:szCs w:val="22"/>
      <w:lang w:eastAsia="en-US"/>
    </w:rPr>
  </w:style>
  <w:style w:type="character" w:customStyle="1" w:styleId="19">
    <w:name w:val="正文文本 Char"/>
    <w:link w:val="10"/>
    <w:qFormat/>
    <w:uiPriority w:val="0"/>
    <w:rPr>
      <w:rFonts w:ascii="宋体" w:hAnsi="宋体" w:eastAsia="宋体" w:cs="宋体"/>
      <w:sz w:val="24"/>
      <w:szCs w:val="28"/>
      <w:lang w:val="zh-CN" w:bidi="zh-CN"/>
    </w:rPr>
  </w:style>
  <w:style w:type="paragraph" w:customStyle="1" w:styleId="20">
    <w:name w:val="表格"/>
    <w:basedOn w:val="1"/>
    <w:qFormat/>
    <w:uiPriority w:val="0"/>
    <w:pPr>
      <w:adjustRightInd w:val="0"/>
      <w:snapToGrid w:val="0"/>
      <w:spacing w:line="240" w:lineRule="auto"/>
      <w:jc w:val="center"/>
    </w:pPr>
    <w:rPr>
      <w:rFonts w:hint="eastAsia" w:ascii="宋体" w:hAnsi="宋体" w:eastAsia="宋体" w:cs="宋体"/>
      <w:sz w:val="24"/>
      <w:szCs w:val="24"/>
      <w:lang w:val="zh-CN"/>
    </w:rPr>
  </w:style>
  <w:style w:type="character" w:customStyle="1" w:styleId="21">
    <w:name w:val="标题 4 Char"/>
    <w:link w:val="5"/>
    <w:qFormat/>
    <w:uiPriority w:val="0"/>
    <w:rPr>
      <w:rFonts w:ascii="宋体" w:hAnsi="宋体" w:eastAsia="宋体" w:cs="宋体"/>
      <w:b/>
      <w:bCs/>
      <w:kern w:val="2"/>
      <w:sz w:val="28"/>
      <w:szCs w:val="28"/>
    </w:rPr>
  </w:style>
  <w:style w:type="character" w:customStyle="1" w:styleId="22">
    <w:name w:val="标题 6 Char"/>
    <w:link w:val="7"/>
    <w:qFormat/>
    <w:uiPriority w:val="0"/>
    <w:rPr>
      <w:rFonts w:ascii="Arial" w:hAnsi="Arial" w:eastAsia="宋体" w:cs="Times New Roman"/>
      <w:b/>
      <w:bCs/>
      <w:kern w:val="0"/>
      <w:sz w:val="28"/>
      <w:szCs w:val="24"/>
    </w:rPr>
  </w:style>
  <w:style w:type="character" w:customStyle="1" w:styleId="23">
    <w:name w:val="标题 5 Char"/>
    <w:link w:val="6"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customStyle="1" w:styleId="24">
    <w:name w:val="居中"/>
    <w:basedOn w:val="1"/>
    <w:qFormat/>
    <w:uiPriority w:val="0"/>
    <w:pPr>
      <w:jc w:val="center"/>
    </w:pPr>
    <w:rPr>
      <w:rFonts w:ascii="Times New Roman" w:hAnsi="Times New Roman" w:eastAsia="宋体"/>
      <w:b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2026-06-26T05:24:00Z</dcterms:created>
  <dc:creator>hh</dc:creator>
  <cp:lastModifiedBy>hh</cp:lastModifiedBy>
  <dcterms:modified xsi:type="dcterms:W3CDTF">2026-06-26T05:28:46Z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F18EE6DB6BE24D99BF64BB25B2E54400_11</vt:lpwstr>
  </property>
  <property fmtid="{D5CDD505-2E9C-101B-9397-08002B2CF9AE}" pid="4" name="KSOTemplateDocerSaveRecord">
    <vt:lpwstr>eyJoZGlkIjoiMDE0MWExYzZhN2MyNGJiNTVhNDFjN2I1MzgyYTEyNWYiLCJ1c2VySWQiOiI1NTQxNTg5NzAifQ==</vt:lpwstr>
  </property>
</Properties>
</file>