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DE8358">
      <w:pPr>
        <w:jc w:val="center"/>
        <w:rPr>
          <w:b/>
        </w:rPr>
      </w:pPr>
      <w:r>
        <w:rPr>
          <w:rFonts w:hint="eastAsia" w:ascii="宋体" w:hAnsi="宋体"/>
          <w:b/>
          <w:sz w:val="32"/>
          <w:szCs w:val="32"/>
        </w:rPr>
        <w:t>合同范本（仅供参考）</w:t>
      </w:r>
    </w:p>
    <w:p w14:paraId="5EC76B69">
      <w:pPr>
        <w:spacing w:line="360" w:lineRule="auto"/>
        <w:ind w:firstLine="482" w:firstLineChars="200"/>
        <w:rPr>
          <w:rFonts w:ascii="宋体" w:hAnsi="宋体"/>
          <w:b/>
          <w:color w:val="FF0000"/>
          <w:sz w:val="24"/>
        </w:rPr>
      </w:pPr>
    </w:p>
    <w:p w14:paraId="27A30377">
      <w:pPr>
        <w:spacing w:line="500" w:lineRule="exact"/>
        <w:jc w:val="center"/>
        <w:rPr>
          <w:rFonts w:hint="eastAsia" w:ascii="仿宋" w:hAnsi="仿宋" w:eastAsia="仿宋" w:cs="宋体"/>
          <w:b/>
          <w:bCs/>
          <w:sz w:val="44"/>
          <w:szCs w:val="44"/>
          <w:lang w:eastAsia="zh-CN"/>
        </w:rPr>
      </w:pPr>
      <w:r>
        <w:rPr>
          <w:rFonts w:hint="eastAsia" w:ascii="仿宋" w:hAnsi="仿宋" w:eastAsia="仿宋" w:cs="宋体"/>
          <w:b/>
          <w:bCs/>
          <w:sz w:val="44"/>
          <w:szCs w:val="44"/>
          <w:lang w:eastAsia="zh-CN"/>
        </w:rPr>
        <w:t>陕西省高速公路联网收费系统省级中心升级改造项目工程可行性研究报告编制项目</w:t>
      </w:r>
    </w:p>
    <w:p w14:paraId="6CBC6E25">
      <w:pPr>
        <w:spacing w:line="500" w:lineRule="exact"/>
        <w:jc w:val="center"/>
        <w:rPr>
          <w:rFonts w:hint="eastAsia" w:ascii="仿宋" w:hAnsi="仿宋" w:eastAsia="仿宋"/>
          <w:b/>
          <w:sz w:val="24"/>
          <w:lang w:eastAsia="zh-CN"/>
        </w:rPr>
      </w:pPr>
      <w:r>
        <w:rPr>
          <w:rFonts w:hint="eastAsia" w:ascii="仿宋" w:hAnsi="仿宋" w:eastAsia="仿宋"/>
          <w:b/>
          <w:sz w:val="24"/>
          <w:lang w:eastAsia="zh-CN"/>
        </w:rPr>
        <w:t>（本合同为参考文本，最终合同以甲乙双方协商签订的为准）</w:t>
      </w:r>
    </w:p>
    <w:p w14:paraId="74649221">
      <w:pPr>
        <w:pStyle w:val="4"/>
        <w:rPr>
          <w:rFonts w:hint="eastAsia" w:ascii="仿宋" w:hAnsi="仿宋" w:eastAsia="仿宋"/>
          <w:lang w:eastAsia="zh-CN"/>
        </w:rPr>
      </w:pPr>
    </w:p>
    <w:p w14:paraId="4993565F">
      <w:pPr>
        <w:spacing w:line="500" w:lineRule="exact"/>
        <w:rPr>
          <w:rFonts w:hint="eastAsia" w:ascii="仿宋" w:hAnsi="仿宋" w:eastAsia="仿宋"/>
          <w:b/>
          <w:bCs/>
          <w:sz w:val="24"/>
          <w:szCs w:val="24"/>
          <w:lang w:eastAsia="zh-CN"/>
        </w:rPr>
      </w:pPr>
      <w:r>
        <w:rPr>
          <w:rFonts w:hint="eastAsia" w:ascii="仿宋" w:hAnsi="仿宋" w:eastAsia="仿宋" w:cs="宋体"/>
          <w:b/>
          <w:bCs/>
          <w:sz w:val="24"/>
          <w:szCs w:val="24"/>
          <w:lang w:eastAsia="zh-CN"/>
        </w:rPr>
        <w:t>委托单位：</w:t>
      </w:r>
      <w:r>
        <w:rPr>
          <w:rFonts w:hint="eastAsia" w:ascii="仿宋" w:hAnsi="仿宋" w:eastAsia="仿宋" w:cs="宋体"/>
          <w:b/>
          <w:bCs/>
          <w:sz w:val="24"/>
          <w:szCs w:val="24"/>
          <w:u w:val="single"/>
          <w:lang w:eastAsia="zh-CN"/>
        </w:rPr>
        <w:t>陕西省高速公路收费中心</w:t>
      </w:r>
      <w:r>
        <w:rPr>
          <w:rFonts w:hint="eastAsia" w:ascii="仿宋" w:hAnsi="仿宋" w:eastAsia="仿宋" w:cs="宋体"/>
          <w:b/>
          <w:bCs/>
          <w:sz w:val="24"/>
          <w:szCs w:val="24"/>
          <w:lang w:eastAsia="zh-CN"/>
        </w:rPr>
        <w:t>（以下称甲方）</w:t>
      </w:r>
    </w:p>
    <w:p w14:paraId="637ECDCF">
      <w:pPr>
        <w:spacing w:line="500" w:lineRule="exact"/>
        <w:ind w:left="5301" w:hanging="5301" w:hangingChars="2200"/>
        <w:rPr>
          <w:rFonts w:hint="eastAsia" w:ascii="仿宋" w:hAnsi="仿宋" w:eastAsia="仿宋" w:cs="宋体"/>
          <w:b/>
          <w:bCs/>
          <w:sz w:val="24"/>
          <w:szCs w:val="24"/>
          <w:lang w:eastAsia="zh-CN"/>
        </w:rPr>
      </w:pPr>
      <w:r>
        <w:rPr>
          <w:rFonts w:hint="eastAsia" w:ascii="仿宋" w:hAnsi="仿宋" w:eastAsia="仿宋" w:cs="宋体"/>
          <w:b/>
          <w:bCs/>
          <w:sz w:val="24"/>
          <w:szCs w:val="24"/>
          <w:lang w:eastAsia="zh-CN"/>
        </w:rPr>
        <w:t>服务单位：（以下称乙方）</w:t>
      </w:r>
    </w:p>
    <w:p w14:paraId="785ECD23">
      <w:pPr>
        <w:pStyle w:val="4"/>
        <w:rPr>
          <w:rFonts w:hint="eastAsia" w:ascii="仿宋" w:hAnsi="仿宋" w:eastAsia="仿宋"/>
          <w:lang w:eastAsia="zh-CN"/>
        </w:rPr>
      </w:pPr>
    </w:p>
    <w:p w14:paraId="6D0890E3">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依据《中华人民共和国民法典》和《中华人民共和国政府采购法》之规定，经双方在平等、自愿、互利的基础上，签订本合同，共同信守。</w:t>
      </w:r>
    </w:p>
    <w:p w14:paraId="71361A81">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一、项目名称、项目内容</w:t>
      </w:r>
    </w:p>
    <w:p w14:paraId="21BD5A78">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项目名称：陕西省高速公路联网收费系统省级中心升级改造项目工程可行性研究报告编制项目</w:t>
      </w:r>
    </w:p>
    <w:p w14:paraId="2650317E">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项目内容：陕西省高速公路联网收费系统省级中心升级改造项目工程可行性研究报告编制项目</w:t>
      </w:r>
    </w:p>
    <w:p w14:paraId="323C305F">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二、合同价款</w:t>
      </w:r>
    </w:p>
    <w:p w14:paraId="5A92AE3F">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（一）甲方通过</w:t>
      </w:r>
      <w:r>
        <w:rPr>
          <w:rFonts w:hint="eastAsia" w:ascii="仿宋" w:hAnsi="仿宋" w:eastAsia="仿宋" w:cs="宋体"/>
          <w:sz w:val="24"/>
          <w:szCs w:val="24"/>
          <w:lang w:val="en-US" w:eastAsia="zh-CN"/>
        </w:rPr>
        <w:t>竞争性磋商</w:t>
      </w:r>
      <w:r>
        <w:rPr>
          <w:rFonts w:hint="eastAsia" w:ascii="仿宋" w:hAnsi="仿宋" w:eastAsia="仿宋" w:cs="宋体"/>
          <w:sz w:val="24"/>
          <w:szCs w:val="24"/>
          <w:lang w:eastAsia="zh-CN"/>
        </w:rPr>
        <w:t>方式，接受了乙方以总金额大写</w:t>
      </w:r>
      <w:r>
        <w:rPr>
          <w:rFonts w:hint="eastAsia" w:ascii="仿宋" w:hAnsi="仿宋" w:eastAsia="仿宋" w:cs="宋体"/>
          <w:sz w:val="24"/>
          <w:szCs w:val="24"/>
          <w:u w:val="single"/>
          <w:lang w:eastAsia="zh-CN"/>
        </w:rPr>
        <w:t xml:space="preserve">            </w:t>
      </w:r>
      <w:r>
        <w:rPr>
          <w:rFonts w:hint="eastAsia" w:ascii="仿宋" w:hAnsi="仿宋" w:eastAsia="仿宋" w:cs="宋体"/>
          <w:sz w:val="24"/>
          <w:szCs w:val="24"/>
          <w:lang w:eastAsia="zh-CN"/>
        </w:rPr>
        <w:t>（￥小写</w:t>
      </w:r>
      <w:r>
        <w:rPr>
          <w:rFonts w:hint="eastAsia" w:ascii="仿宋" w:hAnsi="仿宋" w:eastAsia="仿宋" w:cs="宋体"/>
          <w:sz w:val="24"/>
          <w:szCs w:val="24"/>
          <w:u w:val="single"/>
          <w:lang w:eastAsia="zh-CN"/>
        </w:rPr>
        <w:t xml:space="preserve">             </w:t>
      </w:r>
      <w:r>
        <w:rPr>
          <w:rFonts w:hint="eastAsia" w:ascii="仿宋" w:hAnsi="仿宋" w:eastAsia="仿宋" w:cs="宋体"/>
          <w:sz w:val="24"/>
          <w:szCs w:val="24"/>
          <w:lang w:eastAsia="zh-CN"/>
        </w:rPr>
        <w:t xml:space="preserve"> ） （以下简称“合同价”)提供合同条款附件所述服务。</w:t>
      </w:r>
    </w:p>
    <w:p w14:paraId="6CD360B2">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二）服务报酬中包括为完成服务内容可能发生的各项费用，包括但不限于人工费、车辆交通费、住宿费、管理费、办公、人员人身相关保险费、项目实施费用以及国家按现行税率征收的一切税费、不可抗力因素的可预见和不可预见费用等。</w:t>
      </w:r>
    </w:p>
    <w:p w14:paraId="5D8CC9CF">
      <w:pPr>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（三）合同总价一次包死，不受市场价格、工作量变化等其它因素的影响。</w:t>
      </w:r>
    </w:p>
    <w:p w14:paraId="78C6125C">
      <w:pPr>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三、款项结算</w:t>
      </w:r>
    </w:p>
    <w:p w14:paraId="60B2ECFD">
      <w:pPr>
        <w:spacing w:line="500" w:lineRule="exact"/>
        <w:ind w:firstLine="480" w:firstLineChars="200"/>
        <w:rPr>
          <w:rFonts w:hint="default" w:ascii="仿宋" w:hAnsi="仿宋" w:eastAsia="仿宋" w:cs="宋体"/>
          <w:sz w:val="24"/>
          <w:szCs w:val="24"/>
          <w:highlight w:val="none"/>
          <w:lang w:val="en-US" w:eastAsia="zh-CN"/>
        </w:rPr>
      </w:pPr>
      <w:r>
        <w:rPr>
          <w:rFonts w:hint="eastAsia" w:ascii="仿宋" w:hAnsi="仿宋" w:eastAsia="仿宋" w:cs="宋体"/>
          <w:sz w:val="24"/>
          <w:szCs w:val="24"/>
          <w:highlight w:val="none"/>
          <w:lang w:eastAsia="zh-CN"/>
        </w:rPr>
        <w:t>（</w:t>
      </w:r>
      <w:r>
        <w:rPr>
          <w:rFonts w:hint="eastAsia" w:ascii="仿宋" w:hAnsi="仿宋" w:eastAsia="仿宋" w:cs="宋体"/>
          <w:sz w:val="24"/>
          <w:szCs w:val="24"/>
          <w:highlight w:val="none"/>
          <w:lang w:val="en-US" w:eastAsia="zh-CN"/>
        </w:rPr>
        <w:t>一</w:t>
      </w:r>
      <w:r>
        <w:rPr>
          <w:rFonts w:hint="eastAsia" w:ascii="仿宋" w:hAnsi="仿宋" w:eastAsia="仿宋" w:cs="宋体"/>
          <w:sz w:val="24"/>
          <w:szCs w:val="24"/>
          <w:highlight w:val="none"/>
          <w:lang w:eastAsia="zh-CN"/>
        </w:rPr>
        <w:t>）</w:t>
      </w:r>
      <w:r>
        <w:rPr>
          <w:rFonts w:hint="eastAsia" w:ascii="仿宋" w:hAnsi="仿宋" w:eastAsia="仿宋" w:cs="宋体"/>
          <w:sz w:val="24"/>
          <w:szCs w:val="24"/>
          <w:highlight w:val="none"/>
          <w:lang w:val="en-US" w:eastAsia="zh-CN"/>
        </w:rPr>
        <w:t>付款方式</w:t>
      </w:r>
    </w:p>
    <w:p w14:paraId="7072891A">
      <w:pPr>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 xml:space="preserve">合同签订且生效之日起，供应商完成工可报告初稿并提交采购人，采购人15个工作日内支付合同价款的50%；工可经采购人初步通过后，15个工作日内支付合同价款的30%；项目履约验收通过后15个工作日内支付合同总价款的20%；若项目2026年11月底未进行履约验收，供应商需在2026年12月提供剩余款项的有效银行保函，采购人一次性支付剩余款项，待到项目验收通过后中心退还保函。  </w:t>
      </w:r>
    </w:p>
    <w:p w14:paraId="37E52545">
      <w:pPr>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w:t>
      </w:r>
      <w:r>
        <w:rPr>
          <w:rFonts w:hint="eastAsia" w:ascii="仿宋" w:hAnsi="仿宋" w:eastAsia="仿宋" w:cs="宋体"/>
          <w:sz w:val="24"/>
          <w:szCs w:val="24"/>
          <w:highlight w:val="none"/>
          <w:lang w:val="en-US" w:eastAsia="zh-CN"/>
        </w:rPr>
        <w:t>二</w:t>
      </w:r>
      <w:r>
        <w:rPr>
          <w:rFonts w:hint="eastAsia" w:ascii="仿宋" w:hAnsi="仿宋" w:eastAsia="仿宋" w:cs="宋体"/>
          <w:sz w:val="24"/>
          <w:szCs w:val="24"/>
          <w:highlight w:val="none"/>
          <w:lang w:eastAsia="zh-CN"/>
        </w:rPr>
        <w:t>）供应商须向采购人出具合法有效的发票，采购人进行支付结算。首次支付时供应商应开具全额发票。</w:t>
      </w:r>
    </w:p>
    <w:p w14:paraId="49BC8E0D">
      <w:pPr>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val="en-US" w:eastAsia="zh-CN"/>
        </w:rPr>
        <w:t>（三）</w:t>
      </w:r>
      <w:r>
        <w:rPr>
          <w:rFonts w:hint="eastAsia" w:ascii="仿宋" w:hAnsi="仿宋" w:eastAsia="仿宋" w:cs="宋体"/>
          <w:sz w:val="24"/>
          <w:szCs w:val="24"/>
          <w:highlight w:val="none"/>
          <w:lang w:eastAsia="zh-CN"/>
        </w:rPr>
        <w:t>结算方式：银行转账。</w:t>
      </w:r>
    </w:p>
    <w:p w14:paraId="0B215A01">
      <w:pPr>
        <w:spacing w:line="500" w:lineRule="exact"/>
        <w:ind w:left="239" w:leftChars="114" w:firstLine="240" w:firstLineChars="1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四、服务条件</w:t>
      </w:r>
    </w:p>
    <w:p w14:paraId="2285CC2B">
      <w:pPr>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（一）服务地点：陕西省高速公路收费中心</w:t>
      </w:r>
    </w:p>
    <w:p w14:paraId="7EC21823">
      <w:pPr>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（二）服务</w:t>
      </w:r>
      <w:r>
        <w:rPr>
          <w:rFonts w:hint="eastAsia" w:ascii="仿宋" w:hAnsi="仿宋" w:eastAsia="仿宋" w:cs="宋体"/>
          <w:sz w:val="24"/>
          <w:szCs w:val="24"/>
          <w:highlight w:val="none"/>
          <w:lang w:val="en-US" w:eastAsia="zh-CN"/>
        </w:rPr>
        <w:t>时间</w:t>
      </w:r>
      <w:r>
        <w:rPr>
          <w:rFonts w:hint="eastAsia" w:ascii="仿宋" w:hAnsi="仿宋" w:eastAsia="仿宋" w:cs="宋体"/>
          <w:sz w:val="24"/>
          <w:szCs w:val="24"/>
          <w:highlight w:val="none"/>
          <w:lang w:eastAsia="zh-CN"/>
        </w:rPr>
        <w:t>：</w:t>
      </w:r>
    </w:p>
    <w:p w14:paraId="07943439">
      <w:pPr>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整体服务周期为自合同签订之日起150个日历天内完成全部工作。具体阶段安排如下：</w:t>
      </w:r>
    </w:p>
    <w:p w14:paraId="07C57138">
      <w:pPr>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1.自合同签订之日起30个日历天内，完成对陕西省高速公路联网收费系统省级中心及其关联系统的现状调研与基础资料收集；在充分调研的基础上，依据编制指南要求，完成可行性研究报告初稿的撰写，并根据采购人意见完成多轮修改与完善；</w:t>
      </w:r>
    </w:p>
    <w:p w14:paraId="134EEC0F">
      <w:pPr>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2.后续积极配合完成专家评审、主管部门审批及项目验收等相关工作，确保项目顺利推进、按时交付。</w:t>
      </w:r>
    </w:p>
    <w:p w14:paraId="3D16B488">
      <w:pPr>
        <w:tabs>
          <w:tab w:val="left" w:pos="7665"/>
        </w:tabs>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（三）乙方指派的项目负责人为</w:t>
      </w:r>
      <w:r>
        <w:rPr>
          <w:rFonts w:hint="eastAsia" w:ascii="仿宋" w:hAnsi="仿宋" w:eastAsia="仿宋" w:cs="宋体"/>
          <w:sz w:val="24"/>
          <w:szCs w:val="24"/>
          <w:highlight w:val="none"/>
          <w:u w:val="single"/>
          <w:lang w:eastAsia="zh-CN"/>
        </w:rPr>
        <w:t xml:space="preserve">       </w:t>
      </w:r>
      <w:r>
        <w:rPr>
          <w:rFonts w:hint="eastAsia" w:ascii="仿宋" w:hAnsi="仿宋" w:eastAsia="仿宋" w:cs="宋体"/>
          <w:sz w:val="24"/>
          <w:szCs w:val="24"/>
          <w:highlight w:val="none"/>
          <w:lang w:eastAsia="zh-CN"/>
        </w:rPr>
        <w:t>，性别</w:t>
      </w:r>
      <w:r>
        <w:rPr>
          <w:rFonts w:hint="eastAsia" w:ascii="仿宋" w:hAnsi="仿宋" w:eastAsia="仿宋" w:cs="宋体"/>
          <w:sz w:val="24"/>
          <w:szCs w:val="24"/>
          <w:highlight w:val="none"/>
          <w:u w:val="single"/>
          <w:lang w:eastAsia="zh-CN"/>
        </w:rPr>
        <w:t xml:space="preserve">      </w:t>
      </w:r>
      <w:r>
        <w:rPr>
          <w:rFonts w:hint="eastAsia" w:ascii="仿宋" w:hAnsi="仿宋" w:eastAsia="仿宋" w:cs="宋体"/>
          <w:sz w:val="24"/>
          <w:szCs w:val="24"/>
          <w:highlight w:val="none"/>
          <w:lang w:eastAsia="zh-CN"/>
        </w:rPr>
        <w:t>，身份证号</w:t>
      </w:r>
      <w:r>
        <w:rPr>
          <w:rFonts w:hint="eastAsia" w:ascii="仿宋" w:hAnsi="仿宋" w:eastAsia="仿宋" w:cs="宋体"/>
          <w:sz w:val="24"/>
          <w:szCs w:val="24"/>
          <w:highlight w:val="none"/>
          <w:u w:val="single"/>
          <w:lang w:eastAsia="zh-CN"/>
        </w:rPr>
        <w:t xml:space="preserve">       </w:t>
      </w:r>
      <w:r>
        <w:rPr>
          <w:rFonts w:hint="eastAsia" w:ascii="仿宋" w:hAnsi="仿宋" w:eastAsia="仿宋" w:cs="宋体"/>
          <w:sz w:val="24"/>
          <w:szCs w:val="24"/>
          <w:highlight w:val="none"/>
          <w:lang w:eastAsia="zh-CN"/>
        </w:rPr>
        <w:t>，联系电话</w:t>
      </w:r>
      <w:r>
        <w:rPr>
          <w:rFonts w:hint="eastAsia" w:ascii="仿宋" w:hAnsi="仿宋" w:eastAsia="仿宋" w:cs="宋体"/>
          <w:sz w:val="24"/>
          <w:szCs w:val="24"/>
          <w:highlight w:val="none"/>
          <w:u w:val="single"/>
          <w:lang w:eastAsia="zh-CN"/>
        </w:rPr>
        <w:t xml:space="preserve">        </w:t>
      </w:r>
      <w:r>
        <w:rPr>
          <w:rFonts w:hint="eastAsia" w:ascii="仿宋" w:hAnsi="仿宋" w:eastAsia="仿宋" w:cs="宋体"/>
          <w:sz w:val="24"/>
          <w:szCs w:val="24"/>
          <w:highlight w:val="none"/>
          <w:lang w:eastAsia="zh-CN"/>
        </w:rPr>
        <w:t>。</w:t>
      </w:r>
    </w:p>
    <w:p w14:paraId="6D4771E9">
      <w:pPr>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五、甲乙双方权利义务</w:t>
      </w:r>
    </w:p>
    <w:p w14:paraId="48FF880A">
      <w:pPr>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（一）甲方的权利义务</w:t>
      </w:r>
    </w:p>
    <w:p w14:paraId="0C0078CE">
      <w:pPr>
        <w:tabs>
          <w:tab w:val="left" w:pos="7665"/>
        </w:tabs>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1、甲方有权指派专门人员或者单位对乙方的工作进行全程监督检查、管理、明确员工职责范围，对工作中不负责任、违反管理规定的人员，有权提出辞退要求，情况属实，服务商应无条件予以执行。</w:t>
      </w:r>
    </w:p>
    <w:p w14:paraId="627B6A8B">
      <w:pPr>
        <w:tabs>
          <w:tab w:val="left" w:pos="7665"/>
        </w:tabs>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2、如果乙方不按甲方规定时限完成各阶段工作任务，给甲方工作开展造成延误及损失，则甲方有权终止合同。</w:t>
      </w:r>
    </w:p>
    <w:p w14:paraId="6562B73E">
      <w:pPr>
        <w:tabs>
          <w:tab w:val="left" w:pos="7665"/>
        </w:tabs>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3、为保证乙方顺利履行职责，甲方应当主动、客观、真实的向乙方提供与业务有关的情况和资料。</w:t>
      </w:r>
    </w:p>
    <w:p w14:paraId="70329FD3">
      <w:pPr>
        <w:tabs>
          <w:tab w:val="left" w:pos="7665"/>
        </w:tabs>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4、按本合同约定向乙方支付合同价款。</w:t>
      </w:r>
    </w:p>
    <w:p w14:paraId="28A30EB6">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（二）乙方的权利义务</w:t>
      </w:r>
    </w:p>
    <w:p w14:paraId="5332CBA1">
      <w:pPr>
        <w:tabs>
          <w:tab w:val="left" w:pos="7665"/>
        </w:tabs>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1.按合同要求向甲方派出合格的服务人员，依据岗位职责结合采购人交予的任务执行服务工作；遵守采购人制定的各项规章制度。</w:t>
      </w:r>
    </w:p>
    <w:p w14:paraId="77592367">
      <w:pPr>
        <w:tabs>
          <w:tab w:val="left" w:pos="7665"/>
        </w:tabs>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2.乙方应当严格按照国家有关法法律法规政策及规定，为甲方提供服务，维护甲方的合法权益，乙方工作人员如不履行职责、不履行甲乙双方的约定，甲方有权向乙方提出更换。</w:t>
      </w:r>
    </w:p>
    <w:p w14:paraId="59AB8E13">
      <w:pPr>
        <w:tabs>
          <w:tab w:val="left" w:pos="7665"/>
        </w:tabs>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3.未经甲方同意，乙方不得将项目分包给其它单位或个人。</w:t>
      </w:r>
    </w:p>
    <w:p w14:paraId="4EFECCF7">
      <w:pPr>
        <w:tabs>
          <w:tab w:val="left" w:pos="7665"/>
        </w:tabs>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4.乙方定期征求采购人的意见，以便及时沟通并做好服务工作，及时报告工作进度，在规定时间内完成相应的项目建设工作。</w:t>
      </w:r>
    </w:p>
    <w:p w14:paraId="761E798D">
      <w:pPr>
        <w:tabs>
          <w:tab w:val="left" w:pos="7665"/>
        </w:tabs>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5.甲方在工作质量、工作进度、工作内容等方面提出意见及建议，乙方应及时响应并有效改进；</w:t>
      </w:r>
    </w:p>
    <w:p w14:paraId="26F48A51">
      <w:pPr>
        <w:tabs>
          <w:tab w:val="left" w:pos="7665"/>
        </w:tabs>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6、在未正式验收前，如政策发生变化，中标供应商须符合国家相应政策完善服务项目。</w:t>
      </w:r>
    </w:p>
    <w:p w14:paraId="2209C6FA">
      <w:pPr>
        <w:tabs>
          <w:tab w:val="left" w:pos="7665"/>
        </w:tabs>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7、保密要求</w:t>
      </w:r>
    </w:p>
    <w:p w14:paraId="53DBD723">
      <w:pPr>
        <w:tabs>
          <w:tab w:val="left" w:pos="7665"/>
        </w:tabs>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项目实施过程中所收集、产生的所有与本项目相关的文档、资料，包括文字、图片、表格、数字等各种形式的所属权均归属</w:t>
      </w:r>
      <w:r>
        <w:rPr>
          <w:rFonts w:hint="eastAsia" w:ascii="仿宋" w:hAnsi="仿宋" w:eastAsia="仿宋" w:cs="宋体"/>
          <w:sz w:val="24"/>
          <w:szCs w:val="24"/>
          <w:highlight w:val="none"/>
          <w:lang w:val="en-US" w:eastAsia="zh-CN"/>
        </w:rPr>
        <w:t>采购人</w:t>
      </w:r>
      <w:r>
        <w:rPr>
          <w:rFonts w:hint="eastAsia" w:ascii="仿宋" w:hAnsi="仿宋" w:eastAsia="仿宋" w:cs="宋体"/>
          <w:sz w:val="24"/>
          <w:szCs w:val="24"/>
          <w:highlight w:val="none"/>
          <w:lang w:eastAsia="zh-CN"/>
        </w:rPr>
        <w:t>，供应商必须对所涉及到的内容保密，供应商及服务人员应按照要求签署保密协议。</w:t>
      </w:r>
    </w:p>
    <w:p w14:paraId="709DB3EA">
      <w:pPr>
        <w:numPr>
          <w:ilvl w:val="0"/>
          <w:numId w:val="1"/>
        </w:numPr>
        <w:tabs>
          <w:tab w:val="left" w:pos="7665"/>
        </w:tabs>
        <w:spacing w:line="500" w:lineRule="exact"/>
        <w:ind w:firstLine="480" w:firstLineChars="200"/>
        <w:rPr>
          <w:rFonts w:hint="eastAsia" w:ascii="仿宋" w:hAnsi="仿宋" w:eastAsia="仿宋" w:cs="宋体"/>
          <w:sz w:val="24"/>
          <w:szCs w:val="24"/>
          <w:highlight w:val="none"/>
          <w:lang w:eastAsia="zh-CN"/>
        </w:rPr>
      </w:pPr>
      <w:r>
        <w:rPr>
          <w:rFonts w:hint="eastAsia" w:ascii="仿宋" w:hAnsi="仿宋" w:eastAsia="仿宋" w:cs="宋体"/>
          <w:sz w:val="24"/>
          <w:szCs w:val="24"/>
          <w:highlight w:val="none"/>
          <w:lang w:eastAsia="zh-CN"/>
        </w:rPr>
        <w:t>违约责任</w:t>
      </w:r>
    </w:p>
    <w:p w14:paraId="6BA07327">
      <w:pPr>
        <w:tabs>
          <w:tab w:val="left" w:pos="7665"/>
        </w:tabs>
        <w:adjustRightInd w:val="0"/>
        <w:snapToGrid w:val="0"/>
        <w:spacing w:line="500" w:lineRule="exact"/>
        <w:ind w:firstLine="480" w:firstLineChars="200"/>
        <w:jc w:val="left"/>
        <w:rPr>
          <w:rFonts w:hint="eastAsia" w:ascii="仿宋" w:hAnsi="仿宋" w:eastAsia="仿宋" w:cs="宋体"/>
          <w:sz w:val="24"/>
          <w:szCs w:val="24"/>
        </w:rPr>
      </w:pPr>
      <w:r>
        <w:rPr>
          <w:rFonts w:hint="eastAsia" w:ascii="仿宋" w:hAnsi="仿宋" w:eastAsia="仿宋" w:cs="宋体"/>
          <w:sz w:val="24"/>
          <w:szCs w:val="24"/>
        </w:rPr>
        <w:t>1、按《中华人民共和国民法典》中的相关条款执行。</w:t>
      </w:r>
    </w:p>
    <w:p w14:paraId="096D2A00">
      <w:pPr>
        <w:tabs>
          <w:tab w:val="left" w:pos="7665"/>
        </w:tabs>
        <w:adjustRightInd w:val="0"/>
        <w:snapToGrid w:val="0"/>
        <w:spacing w:line="500" w:lineRule="exact"/>
        <w:ind w:firstLine="480" w:firstLineChars="200"/>
        <w:jc w:val="left"/>
        <w:rPr>
          <w:rFonts w:hint="eastAsia" w:ascii="仿宋" w:hAnsi="仿宋" w:eastAsia="仿宋" w:cs="宋体"/>
          <w:sz w:val="24"/>
          <w:szCs w:val="24"/>
        </w:rPr>
      </w:pPr>
      <w:r>
        <w:rPr>
          <w:rFonts w:hint="eastAsia" w:ascii="仿宋" w:hAnsi="仿宋" w:eastAsia="仿宋" w:cs="宋体"/>
          <w:sz w:val="24"/>
          <w:szCs w:val="24"/>
        </w:rPr>
        <w:t>2、未按合同要求提供服务或服务质量不能满足技术要求的，甲方有权终止合同，并要求乙方按照双方合同约定违约条款承担违约责任。</w:t>
      </w:r>
    </w:p>
    <w:p w14:paraId="1662A331">
      <w:pPr>
        <w:spacing w:line="500" w:lineRule="exact"/>
        <w:ind w:firstLine="480" w:firstLineChars="200"/>
        <w:rPr>
          <w:rFonts w:hint="eastAsia"/>
          <w:lang w:eastAsia="zh-CN"/>
        </w:rPr>
      </w:pPr>
      <w:r>
        <w:rPr>
          <w:rFonts w:hint="eastAsia" w:ascii="仿宋" w:hAnsi="仿宋" w:eastAsia="仿宋" w:cs="宋体"/>
          <w:sz w:val="24"/>
          <w:szCs w:val="24"/>
        </w:rPr>
        <w:t>3、因乙方违约造成甲方损失的，由乙方承担全部的损失赔偿责任，包括但不限于直接经济损失及甲方因此开支的交通费、公证费、鉴定费、诉讼费、仲裁费、律师费、保全费、保全保险费等一切费用</w:t>
      </w:r>
    </w:p>
    <w:p w14:paraId="652DA5F6">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七、合同争议解决的方式</w:t>
      </w:r>
    </w:p>
    <w:p w14:paraId="5DA38D2B">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本合同在履行过程中发生的争议，由甲、乙双方当事人协商解决，协商不成的按下列第（二）种方式解决：</w:t>
      </w:r>
    </w:p>
    <w:p w14:paraId="5E53AE7B">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（一）提交仲裁委员会仲裁；</w:t>
      </w:r>
    </w:p>
    <w:p w14:paraId="2C4BAEA5">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（二）依法向甲方所在地人民法院起诉。</w:t>
      </w:r>
    </w:p>
    <w:p w14:paraId="4D2D4B20">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八、合同生效</w:t>
      </w:r>
    </w:p>
    <w:p w14:paraId="32EC8554">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（一）本协议一经生效，双方均应严格遵守；如有违约，守约方可依照《中华人民共和国民法典》及有关法律、法规规定，追究违约方的法律责任。</w:t>
      </w:r>
    </w:p>
    <w:p w14:paraId="722E3460">
      <w:pPr>
        <w:spacing w:line="500" w:lineRule="exact"/>
        <w:ind w:firstLine="480" w:firstLineChars="200"/>
        <w:rPr>
          <w:rFonts w:hint="eastAsia" w:ascii="仿宋" w:hAnsi="仿宋" w:eastAsia="仿宋" w:cs="宋体"/>
          <w:sz w:val="24"/>
          <w:szCs w:val="24"/>
          <w:lang w:eastAsia="zh-CN"/>
        </w:rPr>
      </w:pPr>
      <w:r>
        <w:rPr>
          <w:rFonts w:hint="eastAsia" w:ascii="仿宋" w:hAnsi="仿宋" w:eastAsia="仿宋" w:cs="宋体"/>
          <w:sz w:val="24"/>
          <w:szCs w:val="24"/>
          <w:lang w:eastAsia="zh-CN"/>
        </w:rPr>
        <w:t>（二）本协议未尽事宜双方可另行协商，签订补充协议。</w:t>
      </w:r>
    </w:p>
    <w:p w14:paraId="4C7EA49A">
      <w:pPr>
        <w:pStyle w:val="14"/>
      </w:pPr>
      <w:r>
        <w:rPr>
          <w:rFonts w:hint="eastAsia" w:ascii="仿宋" w:hAnsi="仿宋" w:eastAsia="仿宋" w:cs="宋体"/>
          <w:sz w:val="24"/>
          <w:szCs w:val="24"/>
          <w:lang w:eastAsia="zh-CN"/>
        </w:rPr>
        <w:t>九、本协议一式捌份，甲乙双方各执肆</w:t>
      </w:r>
    </w:p>
    <w:p w14:paraId="57A2D053">
      <w:pPr>
        <w:pStyle w:val="14"/>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5C6B7A6F">
      <w:bookmarkStart w:id="0" w:name="_GoBack"/>
      <w:bookmarkEnd w:id="0"/>
    </w:p>
    <w:sectPr>
      <w:footerReference r:id="rId5" w:type="default"/>
      <w:pgSz w:w="11900" w:h="16840"/>
      <w:pgMar w:top="1440" w:right="1080" w:bottom="1440" w:left="1080" w:header="0" w:footer="1109"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11358">
    <w:pPr>
      <w:rPr>
        <w:rFonts w:asciiTheme="minorEastAsia" w:hAnsiTheme="minorEastAsia" w:eastAsiaTheme="minorEastAsia"/>
      </w:rPr>
    </w:pPr>
    <w:r>
      <w:rPr>
        <w:rFonts w:hint="eastAsia" w:cs="微软雅黑" w:asciiTheme="minorEastAsia" w:hAnsiTheme="minorEastAsia" w:eastAsiaTheme="minorEastAsia"/>
      </w:rPr>
      <w:t>陕西开源招标有限公司</w:t>
    </w: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D2C0E1">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58D2C0E1">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2D84CA4">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52D84CA4">
                    <w:pPr>
                      <w:pStyle w:val="6"/>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ACD27C"/>
    <w:multiLevelType w:val="singleLevel"/>
    <w:tmpl w:val="27ACD27C"/>
    <w:lvl w:ilvl="0" w:tentative="0">
      <w:start w:val="6"/>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5260DB8"/>
    <w:rsid w:val="064E2489"/>
    <w:rsid w:val="066A1707"/>
    <w:rsid w:val="0E934402"/>
    <w:rsid w:val="144C07BE"/>
    <w:rsid w:val="200F101E"/>
    <w:rsid w:val="4B007631"/>
    <w:rsid w:val="65566374"/>
    <w:rsid w:val="697454A2"/>
    <w:rsid w:val="75B351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Note Heading"/>
    <w:basedOn w:val="1"/>
    <w:next w:val="1"/>
    <w:qFormat/>
    <w:uiPriority w:val="99"/>
    <w:pPr>
      <w:jc w:val="center"/>
    </w:pPr>
  </w:style>
  <w:style w:type="paragraph" w:styleId="4">
    <w:name w:val="Normal Indent"/>
    <w:basedOn w:val="1"/>
    <w:qFormat/>
    <w:uiPriority w:val="0"/>
    <w:pPr>
      <w:ind w:firstLine="420"/>
    </w:pPr>
    <w:rPr>
      <w:sz w:val="20"/>
    </w:rPr>
  </w:style>
  <w:style w:type="paragraph" w:styleId="5">
    <w:name w:val="Body Text"/>
    <w:basedOn w:val="1"/>
    <w:qFormat/>
    <w:uiPriority w:val="0"/>
    <w:rPr>
      <w:color w:val="993300"/>
      <w:sz w:val="24"/>
    </w:rPr>
  </w:style>
  <w:style w:type="paragraph" w:styleId="6">
    <w:name w:val="footer"/>
    <w:basedOn w:val="1"/>
    <w:link w:val="11"/>
    <w:qFormat/>
    <w:uiPriority w:val="0"/>
    <w:pPr>
      <w:tabs>
        <w:tab w:val="center" w:pos="4153"/>
        <w:tab w:val="right" w:pos="8306"/>
      </w:tabs>
      <w:snapToGrid w:val="0"/>
      <w:spacing w:line="240" w:lineRule="auto"/>
      <w:jc w:val="left"/>
    </w:pPr>
    <w:rPr>
      <w:sz w:val="18"/>
      <w:szCs w:val="18"/>
    </w:rPr>
  </w:style>
  <w:style w:type="paragraph" w:styleId="7">
    <w:name w:val="header"/>
    <w:basedOn w:val="1"/>
    <w:link w:val="10"/>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0">
    <w:name w:val="页眉 Char"/>
    <w:basedOn w:val="9"/>
    <w:link w:val="7"/>
    <w:qFormat/>
    <w:uiPriority w:val="0"/>
    <w:rPr>
      <w:rFonts w:ascii="Times New Roman" w:hAnsi="Times New Roman" w:eastAsia="宋体" w:cs="Times New Roman"/>
      <w:kern w:val="2"/>
      <w:sz w:val="18"/>
      <w:szCs w:val="18"/>
    </w:rPr>
  </w:style>
  <w:style w:type="character" w:customStyle="1" w:styleId="11">
    <w:name w:val="页脚 Char"/>
    <w:basedOn w:val="9"/>
    <w:link w:val="6"/>
    <w:qFormat/>
    <w:uiPriority w:val="0"/>
    <w:rPr>
      <w:rFonts w:ascii="Times New Roman" w:hAnsi="Times New Roman" w:eastAsia="宋体" w:cs="Times New Roman"/>
      <w:kern w:val="2"/>
      <w:sz w:val="18"/>
      <w:szCs w:val="18"/>
    </w:rPr>
  </w:style>
  <w:style w:type="character" w:customStyle="1" w:styleId="12">
    <w:name w:val="NormalCharacter"/>
    <w:link w:val="13"/>
    <w:semiHidden/>
    <w:qFormat/>
    <w:uiPriority w:val="0"/>
    <w:rPr>
      <w:rFonts w:ascii="宋体" w:hAnsi="宋体"/>
    </w:rPr>
  </w:style>
  <w:style w:type="paragraph" w:customStyle="1" w:styleId="13">
    <w:name w:val="UserStyle_64"/>
    <w:basedOn w:val="1"/>
    <w:link w:val="12"/>
    <w:qFormat/>
    <w:uiPriority w:val="0"/>
    <w:pPr>
      <w:widowControl/>
      <w:spacing w:line="240" w:lineRule="auto"/>
      <w:textAlignment w:val="baseline"/>
    </w:pPr>
    <w:rPr>
      <w:rFonts w:ascii="宋体" w:hAnsi="宋体"/>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998</Words>
  <Characters>998</Characters>
  <Lines>11</Lines>
  <Paragraphs>3</Paragraphs>
  <TotalTime>0</TotalTime>
  <ScaleCrop>false</ScaleCrop>
  <LinksUpToDate>false</LinksUpToDate>
  <CharactersWithSpaces>1249</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徐闫靖双</cp:lastModifiedBy>
  <dcterms:modified xsi:type="dcterms:W3CDTF">2026-05-15T06:52:01Z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2B13D543E81B4760AF6D0E764E685C92_11</vt:lpwstr>
  </property>
  <property fmtid="{D5CDD505-2E9C-101B-9397-08002B2CF9AE}" pid="4" name="KSOTemplateDocerSaveRecord">
    <vt:lpwstr>eyJoZGlkIjoiYzA1MTFjMGE5NjMwY2U1ODU1MGFhN2UxMjk1NDdlZjEiLCJ1c2VySWQiOiI0NTE5NDQwNTQifQ==</vt:lpwstr>
  </property>
</Properties>
</file>