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38CE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详细评审-咨询工作流程及各阶段实施方案</w:t>
      </w:r>
    </w:p>
    <w:p w14:paraId="437DC0A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87D1B4C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2026-06-09T10:41:32Z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