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版本号：YWGL-ZC-2026-0013.1B120260615001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西安文理学院再制造智能计算与模拟平台项目(二次)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YWGL-ZC-2026-0013.1B1</w:t>
      </w:r>
      <w:r>
        <w:br/>
      </w:r>
      <w:r>
        <w:br/>
      </w:r>
      <w:r>
        <w:br/>
      </w:r>
    </w:p>
    <w:p>
      <w:pPr>
        <w:pStyle w:val="null3"/>
        <w:jc w:val="center"/>
        <w:outlineLvl w:val="2"/>
      </w:pPr>
      <w:r>
        <w:rPr>
          <w:rFonts w:ascii="仿宋_GB2312" w:hAnsi="仿宋_GB2312" w:cs="仿宋_GB2312" w:eastAsia="仿宋_GB2312"/>
          <w:sz w:val="28"/>
          <w:b/>
        </w:rPr>
        <w:t>西安文理学院（本级）</w:t>
      </w:r>
    </w:p>
    <w:p>
      <w:pPr>
        <w:pStyle w:val="null3"/>
        <w:jc w:val="center"/>
        <w:outlineLvl w:val="2"/>
      </w:pPr>
      <w:r>
        <w:rPr>
          <w:rFonts w:ascii="仿宋_GB2312" w:hAnsi="仿宋_GB2312" w:cs="仿宋_GB2312" w:eastAsia="仿宋_GB2312"/>
          <w:sz w:val="28"/>
          <w:b/>
        </w:rPr>
        <w:t>陕西猷为项目管理有限公司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陕西猷为项目管理有限公司</w:t>
      </w:r>
      <w:r>
        <w:rPr>
          <w:rFonts w:ascii="仿宋_GB2312" w:hAnsi="仿宋_GB2312" w:cs="仿宋_GB2312" w:eastAsia="仿宋_GB2312"/>
        </w:rPr>
        <w:t>（以下简称“代理机构”）受</w:t>
      </w:r>
      <w:r>
        <w:rPr>
          <w:rFonts w:ascii="仿宋_GB2312" w:hAnsi="仿宋_GB2312" w:cs="仿宋_GB2312" w:eastAsia="仿宋_GB2312"/>
        </w:rPr>
        <w:t>西安文理学院（本级）</w:t>
      </w:r>
      <w:r>
        <w:rPr>
          <w:rFonts w:ascii="仿宋_GB2312" w:hAnsi="仿宋_GB2312" w:cs="仿宋_GB2312" w:eastAsia="仿宋_GB2312"/>
        </w:rPr>
        <w:t>委托，拟对</w:t>
      </w:r>
      <w:r>
        <w:rPr>
          <w:rFonts w:ascii="仿宋_GB2312" w:hAnsi="仿宋_GB2312" w:cs="仿宋_GB2312" w:eastAsia="仿宋_GB2312"/>
        </w:rPr>
        <w:t>西安文理学院再制造智能计算与模拟平台项目(二次)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YWGL-ZC-2026-0013.1B1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西安文理学院再制造智能计算与模拟平台项目(二次)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西安文理学院再制造智能计算与模拟平台项目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记录：投标人不得为“信用中国”网站(www.creditchina.gov.cn)中列入失信被执行人和重大税收违法失信主体，不得为中国政府采购网(www.ccgp.gov.cn)政府采购严重违法失信行为记录名单中被财政部门禁止参加政府采购活动的单位。</w:t>
      </w:r>
    </w:p>
    <w:p>
      <w:pPr>
        <w:pStyle w:val="null3"/>
      </w:pPr>
      <w:r>
        <w:rPr>
          <w:rFonts w:ascii="仿宋_GB2312" w:hAnsi="仿宋_GB2312" w:cs="仿宋_GB2312" w:eastAsia="仿宋_GB2312"/>
        </w:rPr>
        <w:t>2、法定代表人或其授权委托书：法定代表人直接参加投标的，须出具法定代表人身份证明书；法定代表人授权代表参加投标的，须出具法定代表人授权委托书。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西安文理学院（本级）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西安市雁塔区科技六路1号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029-88258528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陕西猷为项目管理有限公司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西安市碑林区南二环路79号广丰国际大厦2区8楼810</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邢郁苗、薛淼鑫、田许双、刘佳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029-87400234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代理服务费收费标准：中标人在领取中标通知书时，向陕西猷为项目管理有限公司交纳招标代理服务费。服务费收费标准参照国家计委颁发的《招标代理服务收费管理暂行办法》（计价格〔2002〕1980 号）的有关规定执行。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西安文理学院（本级）</w:t>
      </w:r>
      <w:r>
        <w:rPr>
          <w:rFonts w:ascii="仿宋_GB2312" w:hAnsi="仿宋_GB2312" w:cs="仿宋_GB2312" w:eastAsia="仿宋_GB2312"/>
        </w:rPr>
        <w:t>和</w:t>
      </w:r>
      <w:r>
        <w:rPr>
          <w:rFonts w:ascii="仿宋_GB2312" w:hAnsi="仿宋_GB2312" w:cs="仿宋_GB2312" w:eastAsia="仿宋_GB2312"/>
        </w:rPr>
        <w:t>陕西猷为项目管理有限公司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西安文理学院（本级）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陕西猷为项目管理有限公司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西安文理学院（本级）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陕西猷为项目管理有限公司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按照采购文件相关规定执行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陕西猷为项目管理有限公司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陕西猷为项目管理有限公司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陕西猷为项目管理有限公司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联系人：李有为</w:t>
      </w:r>
    </w:p>
    <w:p>
      <w:pPr>
        <w:pStyle w:val="null3"/>
      </w:pPr>
      <w:r>
        <w:rPr>
          <w:rFonts w:ascii="仿宋_GB2312" w:hAnsi="仿宋_GB2312" w:cs="仿宋_GB2312" w:eastAsia="仿宋_GB2312"/>
        </w:rPr>
        <w:t>联系电话：029-87400234</w:t>
      </w:r>
    </w:p>
    <w:p>
      <w:pPr>
        <w:pStyle w:val="null3"/>
      </w:pPr>
      <w:r>
        <w:rPr>
          <w:rFonts w:ascii="仿宋_GB2312" w:hAnsi="仿宋_GB2312" w:cs="仿宋_GB2312" w:eastAsia="仿宋_GB2312"/>
        </w:rPr>
        <w:t>地址：西安市碑林区南二环路79号广丰国际大厦2区8楼810</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再制造智能计算与模拟平台项目属于国家以旧换新支持西安文理学院发展重大项目的子项目之一，由智能制造学院智能感知工程专业负责建设。项目采用公开招标方式执行。项目采购管理节点、9个GPU计算节点、机柜、网络、UPS、空调、集群监控终端及配套软件与开发环境等。再制造智能计算与模拟平台建成后将支撑智能感知、再制造仿真、大模型训练与科学计算，提供高性能并行计算与AI智能调度能力，服务教学科研及区域产业升级。</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2,560,000.00</w:t>
      </w:r>
    </w:p>
    <w:p>
      <w:pPr>
        <w:pStyle w:val="null3"/>
      </w:pPr>
      <w:r>
        <w:rPr>
          <w:rFonts w:ascii="仿宋_GB2312" w:hAnsi="仿宋_GB2312" w:cs="仿宋_GB2312" w:eastAsia="仿宋_GB2312"/>
        </w:rPr>
        <w:t>采购包最高限价（元）: 2,560,000.00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西安文理学院再制造智能计算与模拟平台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标的名称：西安文理学院再制造智能计算与模拟平台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65"/>
              <w:gridCol w:w="160"/>
              <w:gridCol w:w="1909"/>
              <w:gridCol w:w="319"/>
            </w:tblGrid>
            <w:tr>
              <w:tc>
                <w:tcPr>
                  <w:tcW w:type="dxa" w:w="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设备名称</w:t>
                  </w:r>
                </w:p>
              </w:tc>
              <w:tc>
                <w:tcPr>
                  <w:tcW w:type="dxa" w:w="19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型号规格</w:t>
                  </w:r>
                </w:p>
              </w:tc>
              <w:tc>
                <w:tcPr>
                  <w:tcW w:type="dxa" w:w="3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再制造智能计算与模拟平台</w:t>
                  </w:r>
                </w:p>
              </w:tc>
              <w:tc>
                <w:tcPr>
                  <w:tcW w:type="dxa" w:w="19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210" w:after="150"/>
                  </w:pPr>
                  <w:r>
                    <w:rPr>
                      <w:rFonts w:ascii="仿宋_GB2312" w:hAnsi="仿宋_GB2312" w:cs="仿宋_GB2312" w:eastAsia="仿宋_GB2312"/>
                      <w:sz w:val="19"/>
                      <w:shd w:fill="FFFFFF" w:val="clear"/>
                    </w:rPr>
                    <w:t>系统技术参数</w:t>
                  </w:r>
                  <w:r>
                    <w:br/>
                  </w:r>
                  <w:r>
                    <w:rPr>
                      <w:rFonts w:ascii="仿宋_GB2312" w:hAnsi="仿宋_GB2312" w:cs="仿宋_GB2312" w:eastAsia="仿宋_GB2312"/>
                      <w:sz w:val="19"/>
                      <w:shd w:fill="FFFFFF" w:val="clear"/>
                    </w:rPr>
                    <w:t>（一）硬件要求如下</w:t>
                  </w:r>
                  <w:r>
                    <w:rPr>
                      <w:rFonts w:ascii="仿宋_GB2312" w:hAnsi="仿宋_GB2312" w:cs="仿宋_GB2312" w:eastAsia="仿宋_GB2312"/>
                      <w:sz w:val="19"/>
                      <w:shd w:fill="FFFFFF" w:val="clear"/>
                    </w:rPr>
                    <w:t xml:space="preserve">                                                                                                                                                                                                                                                </w:t>
                  </w:r>
                </w:p>
                <w:p>
                  <w:pPr>
                    <w:pStyle w:val="null3"/>
                    <w:spacing w:before="210" w:after="150"/>
                  </w:pPr>
                  <w:r>
                    <w:rPr>
                      <w:rFonts w:ascii="仿宋_GB2312" w:hAnsi="仿宋_GB2312" w:cs="仿宋_GB2312" w:eastAsia="仿宋_GB2312"/>
                      <w:sz w:val="19"/>
                      <w:shd w:fill="FFFFFF" w:val="clear"/>
                    </w:rPr>
                    <w:t>1. 管理节点</w:t>
                  </w:r>
                  <w:r>
                    <w:br/>
                  </w:r>
                  <w:r>
                    <w:rPr>
                      <w:rFonts w:ascii="仿宋_GB2312" w:hAnsi="仿宋_GB2312" w:cs="仿宋_GB2312" w:eastAsia="仿宋_GB2312"/>
                      <w:sz w:val="22"/>
                      <w:shd w:fill="FFFFFF" w:val="clear"/>
                    </w:rPr>
                    <w:t>▲</w:t>
                  </w:r>
                  <w:r>
                    <w:rPr>
                      <w:rFonts w:ascii="仿宋_GB2312" w:hAnsi="仿宋_GB2312" w:cs="仿宋_GB2312" w:eastAsia="仿宋_GB2312"/>
                      <w:sz w:val="19"/>
                      <w:shd w:fill="FFFFFF" w:val="clear"/>
                    </w:rPr>
                    <w:t>（</w:t>
                  </w:r>
                  <w:r>
                    <w:rPr>
                      <w:rFonts w:ascii="仿宋_GB2312" w:hAnsi="仿宋_GB2312" w:cs="仿宋_GB2312" w:eastAsia="仿宋_GB2312"/>
                      <w:sz w:val="19"/>
                      <w:shd w:fill="FFFFFF" w:val="clear"/>
                    </w:rPr>
                    <w:t>1）处理器：2颗CPU，单颗≥16核32线程，基础频率≥2.5GHz，最大睿频≥3.5GHz，≥37MB缓存。（需提供能够明确说明该技术内容的证明材料。）</w:t>
                  </w:r>
                  <w:r>
                    <w:br/>
                  </w:r>
                  <w:r>
                    <w:rPr>
                      <w:rFonts w:ascii="仿宋_GB2312" w:hAnsi="仿宋_GB2312" w:cs="仿宋_GB2312" w:eastAsia="仿宋_GB2312"/>
                      <w:sz w:val="19"/>
                      <w:shd w:fill="FFFFFF" w:val="clear"/>
                    </w:rPr>
                    <w:t>（</w:t>
                  </w:r>
                  <w:r>
                    <w:rPr>
                      <w:rFonts w:ascii="仿宋_GB2312" w:hAnsi="仿宋_GB2312" w:cs="仿宋_GB2312" w:eastAsia="仿宋_GB2312"/>
                      <w:sz w:val="19"/>
                      <w:shd w:fill="FFFFFF" w:val="clear"/>
                    </w:rPr>
                    <w:t>2）内存：≥256GB DDR5，≥5600MHz ECC RDIMM（可扩展至1TB）。</w:t>
                  </w:r>
                  <w:r>
                    <w:br/>
                  </w:r>
                  <w:r>
                    <w:rPr>
                      <w:rFonts w:ascii="仿宋_GB2312" w:hAnsi="仿宋_GB2312" w:cs="仿宋_GB2312" w:eastAsia="仿宋_GB2312"/>
                      <w:sz w:val="19"/>
                      <w:shd w:fill="FFFFFF" w:val="clear"/>
                    </w:rPr>
                    <w:t>（</w:t>
                  </w:r>
                  <w:r>
                    <w:rPr>
                      <w:rFonts w:ascii="仿宋_GB2312" w:hAnsi="仿宋_GB2312" w:cs="仿宋_GB2312" w:eastAsia="仿宋_GB2312"/>
                      <w:sz w:val="19"/>
                      <w:shd w:fill="FFFFFF" w:val="clear"/>
                    </w:rPr>
                    <w:t>3）系统硬盘：≥1.92TB U.2 NVMe PCIe 4.0企业级SSD（顺序读≥7250MB/s）。</w:t>
                  </w:r>
                  <w:r>
                    <w:br/>
                  </w:r>
                  <w:r>
                    <w:rPr>
                      <w:rFonts w:ascii="仿宋_GB2312" w:hAnsi="仿宋_GB2312" w:cs="仿宋_GB2312" w:eastAsia="仿宋_GB2312"/>
                      <w:sz w:val="19"/>
                      <w:shd w:fill="FFFFFF" w:val="clear"/>
                    </w:rPr>
                    <w:t>（</w:t>
                  </w:r>
                  <w:r>
                    <w:rPr>
                      <w:rFonts w:ascii="仿宋_GB2312" w:hAnsi="仿宋_GB2312" w:cs="仿宋_GB2312" w:eastAsia="仿宋_GB2312"/>
                      <w:sz w:val="19"/>
                      <w:shd w:fill="FFFFFF" w:val="clear"/>
                    </w:rPr>
                    <w:t>4）数据盘：≥192TBSAS（或SATA） 12Gbps企业级HDD（RAID6）+ 2×3.84TB SSD缓存盘。</w:t>
                  </w:r>
                  <w:r>
                    <w:br/>
                  </w:r>
                  <w:r>
                    <w:rPr>
                      <w:rFonts w:ascii="仿宋_GB2312" w:hAnsi="仿宋_GB2312" w:cs="仿宋_GB2312" w:eastAsia="仿宋_GB2312"/>
                      <w:sz w:val="19"/>
                      <w:shd w:fill="FFFFFF" w:val="clear"/>
                    </w:rPr>
                    <w:t>（</w:t>
                  </w:r>
                  <w:r>
                    <w:rPr>
                      <w:rFonts w:ascii="仿宋_GB2312" w:hAnsi="仿宋_GB2312" w:cs="仿宋_GB2312" w:eastAsia="仿宋_GB2312"/>
                      <w:sz w:val="19"/>
                      <w:shd w:fill="FFFFFF" w:val="clear"/>
                    </w:rPr>
                    <w:t>5）主板：服务器专用主板，支持双路CPU，≥6个PCIe 5.0插槽，集成IPMI远程管理。</w:t>
                  </w:r>
                  <w:r>
                    <w:br/>
                  </w:r>
                  <w:r>
                    <w:rPr>
                      <w:rFonts w:ascii="仿宋_GB2312" w:hAnsi="仿宋_GB2312" w:cs="仿宋_GB2312" w:eastAsia="仿宋_GB2312"/>
                      <w:sz w:val="19"/>
                      <w:shd w:fill="FFFFFF" w:val="clear"/>
                    </w:rPr>
                    <w:t>（</w:t>
                  </w:r>
                  <w:r>
                    <w:rPr>
                      <w:rFonts w:ascii="仿宋_GB2312" w:hAnsi="仿宋_GB2312" w:cs="仿宋_GB2312" w:eastAsia="仿宋_GB2312"/>
                      <w:sz w:val="19"/>
                      <w:shd w:fill="FFFFFF" w:val="clear"/>
                    </w:rPr>
                    <w:t>6）配置独立RAID卡，支持RAID 0/1/5/6/10，缓存≥1GB。</w:t>
                  </w:r>
                </w:p>
                <w:p>
                  <w:pPr>
                    <w:pStyle w:val="null3"/>
                    <w:spacing w:before="210" w:after="150"/>
                  </w:pPr>
                  <w:r>
                    <w:rPr>
                      <w:rFonts w:ascii="仿宋_GB2312" w:hAnsi="仿宋_GB2312" w:cs="仿宋_GB2312" w:eastAsia="仿宋_GB2312"/>
                      <w:sz w:val="19"/>
                      <w:shd w:fill="FFFFFF" w:val="clear"/>
                    </w:rPr>
                    <w:t>（</w:t>
                  </w:r>
                  <w:r>
                    <w:rPr>
                      <w:rFonts w:ascii="仿宋_GB2312" w:hAnsi="仿宋_GB2312" w:cs="仿宋_GB2312" w:eastAsia="仿宋_GB2312"/>
                      <w:sz w:val="19"/>
                      <w:shd w:fill="FFFFFF" w:val="clear"/>
                    </w:rPr>
                    <w:t>7）网口：≥2个万兆SFP+光口+2个千兆电口+1个IPMI。</w:t>
                  </w:r>
                </w:p>
                <w:p>
                  <w:pPr>
                    <w:pStyle w:val="null3"/>
                    <w:spacing w:before="210" w:after="150"/>
                  </w:pPr>
                  <w:r>
                    <w:rPr>
                      <w:rFonts w:ascii="仿宋_GB2312" w:hAnsi="仿宋_GB2312" w:cs="仿宋_GB2312" w:eastAsia="仿宋_GB2312"/>
                      <w:sz w:val="19"/>
                      <w:shd w:fill="FFFFFF" w:val="clear"/>
                    </w:rPr>
                    <w:t>（</w:t>
                  </w:r>
                  <w:r>
                    <w:rPr>
                      <w:rFonts w:ascii="仿宋_GB2312" w:hAnsi="仿宋_GB2312" w:cs="仿宋_GB2312" w:eastAsia="仿宋_GB2312"/>
                      <w:sz w:val="19"/>
                      <w:shd w:fill="FFFFFF" w:val="clear"/>
                    </w:rPr>
                    <w:t>8）电源：采用1+1冗余≥1300W电源。</w:t>
                  </w:r>
                  <w:r>
                    <w:br/>
                  </w:r>
                  <w:r>
                    <w:rPr>
                      <w:rFonts w:ascii="仿宋_GB2312" w:hAnsi="仿宋_GB2312" w:cs="仿宋_GB2312" w:eastAsia="仿宋_GB2312"/>
                      <w:sz w:val="19"/>
                      <w:shd w:fill="FFFFFF" w:val="clear"/>
                    </w:rPr>
                    <w:t>（</w:t>
                  </w:r>
                  <w:r>
                    <w:rPr>
                      <w:rFonts w:ascii="仿宋_GB2312" w:hAnsi="仿宋_GB2312" w:cs="仿宋_GB2312" w:eastAsia="仿宋_GB2312"/>
                      <w:sz w:val="19"/>
                      <w:shd w:fill="FFFFFF" w:val="clear"/>
                    </w:rPr>
                    <w:t>9) 散热系统：2U高效风冷散热，适配2U机架式结构。</w:t>
                  </w:r>
                </w:p>
                <w:p>
                  <w:pPr>
                    <w:pStyle w:val="null3"/>
                  </w:pPr>
                  <w:r>
                    <w:rPr>
                      <w:rFonts w:ascii="仿宋_GB2312" w:hAnsi="仿宋_GB2312" w:cs="仿宋_GB2312" w:eastAsia="仿宋_GB2312"/>
                      <w:sz w:val="19"/>
                      <w:b/>
                    </w:rPr>
                    <w:t>2. GPU计算节点</w:t>
                  </w:r>
                  <w:r>
                    <w:rPr>
                      <w:rFonts w:ascii="仿宋_GB2312" w:hAnsi="仿宋_GB2312" w:cs="仿宋_GB2312" w:eastAsia="仿宋_GB2312"/>
                      <w:sz w:val="19"/>
                    </w:rPr>
                    <w:t>（</w:t>
                  </w:r>
                  <w:r>
                    <w:rPr>
                      <w:rFonts w:ascii="仿宋_GB2312" w:hAnsi="仿宋_GB2312" w:cs="仿宋_GB2312" w:eastAsia="仿宋_GB2312"/>
                      <w:sz w:val="19"/>
                    </w:rPr>
                    <w:t>≥7个）</w:t>
                  </w:r>
                  <w:r>
                    <w:br/>
                  </w:r>
                  <w:r>
                    <w:rPr>
                      <w:rFonts w:ascii="仿宋_GB2312" w:hAnsi="仿宋_GB2312" w:cs="仿宋_GB2312" w:eastAsia="仿宋_GB2312"/>
                      <w:sz w:val="19"/>
                    </w:rPr>
                    <w:t>（</w:t>
                  </w:r>
                  <w:r>
                    <w:rPr>
                      <w:rFonts w:ascii="仿宋_GB2312" w:hAnsi="仿宋_GB2312" w:cs="仿宋_GB2312" w:eastAsia="仿宋_GB2312"/>
                      <w:sz w:val="19"/>
                    </w:rPr>
                    <w:t>1）处理器：2颗 CPU，单颗≥48核96线程，基础频率≥2.4GHz，最大睿频≥3.1 GHz，≥95MB缓存。</w:t>
                  </w:r>
                  <w:r>
                    <w:br/>
                  </w:r>
                  <w:r>
                    <w:rPr>
                      <w:rFonts w:ascii="仿宋_GB2312" w:hAnsi="仿宋_GB2312" w:cs="仿宋_GB2312" w:eastAsia="仿宋_GB2312"/>
                      <w:sz w:val="19"/>
                    </w:rPr>
                    <w:t>（</w:t>
                  </w:r>
                  <w:r>
                    <w:rPr>
                      <w:rFonts w:ascii="仿宋_GB2312" w:hAnsi="仿宋_GB2312" w:cs="仿宋_GB2312" w:eastAsia="仿宋_GB2312"/>
                      <w:sz w:val="19"/>
                    </w:rPr>
                    <w:t>2）内存：≥256GB DDR5,≥5600MHz ECC RDIMM（可扩展至1TB）。</w:t>
                  </w:r>
                  <w:r>
                    <w:br/>
                  </w:r>
                  <w:r>
                    <w:rPr>
                      <w:rFonts w:ascii="仿宋_GB2312" w:hAnsi="仿宋_GB2312" w:cs="仿宋_GB2312" w:eastAsia="仿宋_GB2312"/>
                      <w:sz w:val="19"/>
                    </w:rPr>
                    <w:t>（</w:t>
                  </w:r>
                  <w:r>
                    <w:rPr>
                      <w:rFonts w:ascii="仿宋_GB2312" w:hAnsi="仿宋_GB2312" w:cs="仿宋_GB2312" w:eastAsia="仿宋_GB2312"/>
                      <w:sz w:val="19"/>
                    </w:rPr>
                    <w:t>3）系统硬盘：≥1.92TB U.2 NVMe PCIe 4.0企业级SSD（顺序读≥7250MB/s）。</w:t>
                  </w:r>
                  <w:r>
                    <w:br/>
                  </w:r>
                  <w:r>
                    <w:rPr>
                      <w:rFonts w:ascii="仿宋_GB2312" w:hAnsi="仿宋_GB2312" w:cs="仿宋_GB2312" w:eastAsia="仿宋_GB2312"/>
                      <w:sz w:val="19"/>
                    </w:rPr>
                    <w:t>（</w:t>
                  </w:r>
                  <w:r>
                    <w:rPr>
                      <w:rFonts w:ascii="仿宋_GB2312" w:hAnsi="仿宋_GB2312" w:cs="仿宋_GB2312" w:eastAsia="仿宋_GB2312"/>
                      <w:sz w:val="19"/>
                    </w:rPr>
                    <w:t>4）主板：服务器专用主板，支持双路CPU，≥6个PCIe 5.0插槽，集成IPMI远程管理。</w:t>
                  </w:r>
                </w:p>
                <w:p>
                  <w:pPr>
                    <w:pStyle w:val="null3"/>
                  </w:pPr>
                  <w:r>
                    <w:rPr>
                      <w:rFonts w:ascii="仿宋_GB2312" w:hAnsi="仿宋_GB2312" w:cs="仿宋_GB2312" w:eastAsia="仿宋_GB2312"/>
                      <w:sz w:val="22"/>
                      <w:b/>
                    </w:rPr>
                    <w:t>▲</w:t>
                  </w:r>
                  <w:r>
                    <w:rPr>
                      <w:rFonts w:ascii="仿宋_GB2312" w:hAnsi="仿宋_GB2312" w:cs="仿宋_GB2312" w:eastAsia="仿宋_GB2312"/>
                      <w:sz w:val="19"/>
                    </w:rPr>
                    <w:t>（</w:t>
                  </w:r>
                  <w:r>
                    <w:rPr>
                      <w:rFonts w:ascii="仿宋_GB2312" w:hAnsi="仿宋_GB2312" w:cs="仿宋_GB2312" w:eastAsia="仿宋_GB2312"/>
                      <w:sz w:val="19"/>
                    </w:rPr>
                    <w:t>5）GPU计算卡：配置≥4块,每块GPU≥32GB GDDR7，单卡计算核心数≥21760个,最大可支持8块双宽GPU卡扩展（需提供能够明确说明该技术内容的产品说明书或相关证明材料）。</w:t>
                  </w:r>
                </w:p>
                <w:p>
                  <w:pPr>
                    <w:pStyle w:val="null3"/>
                  </w:pPr>
                  <w:r>
                    <w:rPr>
                      <w:rFonts w:ascii="仿宋_GB2312" w:hAnsi="仿宋_GB2312" w:cs="仿宋_GB2312" w:eastAsia="仿宋_GB2312"/>
                      <w:sz w:val="19"/>
                    </w:rPr>
                    <w:t>（</w:t>
                  </w:r>
                  <w:r>
                    <w:rPr>
                      <w:rFonts w:ascii="仿宋_GB2312" w:hAnsi="仿宋_GB2312" w:cs="仿宋_GB2312" w:eastAsia="仿宋_GB2312"/>
                      <w:sz w:val="19"/>
                    </w:rPr>
                    <w:t>6）网口：≥2个万兆SFP+光口，支持25G上行。</w:t>
                  </w:r>
                  <w:r>
                    <w:br/>
                  </w:r>
                  <w:r>
                    <w:rPr>
                      <w:rFonts w:ascii="仿宋_GB2312" w:hAnsi="仿宋_GB2312" w:cs="仿宋_GB2312" w:eastAsia="仿宋_GB2312"/>
                      <w:sz w:val="19"/>
                    </w:rPr>
                    <w:t>（</w:t>
                  </w:r>
                  <w:r>
                    <w:rPr>
                      <w:rFonts w:ascii="仿宋_GB2312" w:hAnsi="仿宋_GB2312" w:cs="仿宋_GB2312" w:eastAsia="仿宋_GB2312"/>
                      <w:sz w:val="19"/>
                    </w:rPr>
                    <w:t>7）1+1冗余≥2400W电源。</w:t>
                  </w:r>
                  <w:r>
                    <w:br/>
                  </w:r>
                  <w:r>
                    <w:rPr>
                      <w:rFonts w:ascii="仿宋_GB2312" w:hAnsi="仿宋_GB2312" w:cs="仿宋_GB2312" w:eastAsia="仿宋_GB2312"/>
                      <w:sz w:val="19"/>
                    </w:rPr>
                    <w:t>（</w:t>
                  </w:r>
                  <w:r>
                    <w:rPr>
                      <w:rFonts w:ascii="仿宋_GB2312" w:hAnsi="仿宋_GB2312" w:cs="仿宋_GB2312" w:eastAsia="仿宋_GB2312"/>
                      <w:sz w:val="19"/>
                    </w:rPr>
                    <w:t>8）散热系统：适配4U标准机架，4U高效风冷散热。</w:t>
                  </w:r>
                </w:p>
                <w:p>
                  <w:pPr>
                    <w:pStyle w:val="null3"/>
                  </w:pPr>
                  <w:r>
                    <w:rPr>
                      <w:rFonts w:ascii="仿宋_GB2312" w:hAnsi="仿宋_GB2312" w:cs="仿宋_GB2312" w:eastAsia="仿宋_GB2312"/>
                      <w:sz w:val="19"/>
                    </w:rPr>
                    <w:t xml:space="preserve">3. </w:t>
                  </w:r>
                  <w:r>
                    <w:rPr>
                      <w:rFonts w:ascii="仿宋_GB2312" w:hAnsi="仿宋_GB2312" w:cs="仿宋_GB2312" w:eastAsia="仿宋_GB2312"/>
                      <w:sz w:val="19"/>
                      <w:b/>
                    </w:rPr>
                    <w:t>服务器机柜</w:t>
                  </w:r>
                  <w:r>
                    <w:br/>
                  </w:r>
                  <w:r>
                    <w:rPr>
                      <w:rFonts w:ascii="仿宋_GB2312" w:hAnsi="仿宋_GB2312" w:cs="仿宋_GB2312" w:eastAsia="仿宋_GB2312"/>
                      <w:sz w:val="19"/>
                    </w:rPr>
                    <w:t>（</w:t>
                  </w:r>
                  <w:r>
                    <w:rPr>
                      <w:rFonts w:ascii="仿宋_GB2312" w:hAnsi="仿宋_GB2312" w:cs="仿宋_GB2312" w:eastAsia="仿宋_GB2312"/>
                      <w:sz w:val="19"/>
                    </w:rPr>
                    <w:t>1）规格：国际标准42U机柜，符合19英寸安装标准。</w:t>
                  </w:r>
                  <w:r>
                    <w:br/>
                  </w:r>
                  <w:r>
                    <w:rPr>
                      <w:rFonts w:ascii="仿宋_GB2312" w:hAnsi="仿宋_GB2312" w:cs="仿宋_GB2312" w:eastAsia="仿宋_GB2312"/>
                      <w:sz w:val="19"/>
                    </w:rPr>
                    <w:t>（</w:t>
                  </w:r>
                  <w:r>
                    <w:rPr>
                      <w:rFonts w:ascii="仿宋_GB2312" w:hAnsi="仿宋_GB2312" w:cs="仿宋_GB2312" w:eastAsia="仿宋_GB2312"/>
                      <w:sz w:val="19"/>
                    </w:rPr>
                    <w:t>2）材质：冷轧钢，承载立梁厚度≥2.0mm，框架厚度≥1.5mm，其他部件厚度≥1.2mm。</w:t>
                  </w:r>
                  <w:r>
                    <w:br/>
                  </w:r>
                  <w:r>
                    <w:rPr>
                      <w:rFonts w:ascii="仿宋_GB2312" w:hAnsi="仿宋_GB2312" w:cs="仿宋_GB2312" w:eastAsia="仿宋_GB2312"/>
                      <w:sz w:val="19"/>
                    </w:rPr>
                    <w:t>（</w:t>
                  </w:r>
                  <w:r>
                    <w:rPr>
                      <w:rFonts w:ascii="仿宋_GB2312" w:hAnsi="仿宋_GB2312" w:cs="仿宋_GB2312" w:eastAsia="仿宋_GB2312"/>
                      <w:sz w:val="19"/>
                    </w:rPr>
                    <w:t>3）结构：前后金属网孔门，通风率≥70%；配置4个可锁紧脚轮、4个支撑地脚。</w:t>
                  </w:r>
                  <w:r>
                    <w:br/>
                  </w:r>
                  <w:r>
                    <w:rPr>
                      <w:rFonts w:ascii="仿宋_GB2312" w:hAnsi="仿宋_GB2312" w:cs="仿宋_GB2312" w:eastAsia="仿宋_GB2312"/>
                      <w:sz w:val="19"/>
                    </w:rPr>
                    <w:t>（</w:t>
                  </w:r>
                  <w:r>
                    <w:rPr>
                      <w:rFonts w:ascii="仿宋_GB2312" w:hAnsi="仿宋_GB2312" w:cs="仿宋_GB2312" w:eastAsia="仿宋_GB2312"/>
                      <w:sz w:val="19"/>
                    </w:rPr>
                    <w:t>4）配件：每柜含4个PDU（电源分配单元，支持大功率保护功能、孔位数（16A）≥20个）、4个散热风扇、2个固定托盘、4根方孔立柱、配套安装螺母及螺丝。</w:t>
                  </w:r>
                  <w:r>
                    <w:br/>
                  </w:r>
                  <w:r>
                    <w:rPr>
                      <w:rFonts w:ascii="仿宋_GB2312" w:hAnsi="仿宋_GB2312" w:cs="仿宋_GB2312" w:eastAsia="仿宋_GB2312"/>
                      <w:sz w:val="19"/>
                    </w:rPr>
                    <w:t xml:space="preserve">4. </w:t>
                  </w:r>
                  <w:r>
                    <w:rPr>
                      <w:rFonts w:ascii="仿宋_GB2312" w:hAnsi="仿宋_GB2312" w:cs="仿宋_GB2312" w:eastAsia="仿宋_GB2312"/>
                      <w:sz w:val="19"/>
                      <w:b/>
                    </w:rPr>
                    <w:t>通讯网络</w:t>
                  </w:r>
                  <w:r>
                    <w:rPr>
                      <w:rFonts w:ascii="仿宋_GB2312" w:hAnsi="仿宋_GB2312" w:cs="仿宋_GB2312" w:eastAsia="仿宋_GB2312"/>
                      <w:sz w:val="19"/>
                    </w:rPr>
                    <w:t>（</w:t>
                  </w:r>
                  <w:r>
                    <w:rPr>
                      <w:rFonts w:ascii="仿宋_GB2312" w:hAnsi="仿宋_GB2312" w:cs="仿宋_GB2312" w:eastAsia="仿宋_GB2312"/>
                      <w:sz w:val="19"/>
                    </w:rPr>
                    <w:t>1套）</w:t>
                  </w:r>
                  <w:r>
                    <w:br/>
                  </w:r>
                  <w:r>
                    <w:rPr>
                      <w:rFonts w:ascii="仿宋_GB2312" w:hAnsi="仿宋_GB2312" w:cs="仿宋_GB2312" w:eastAsia="仿宋_GB2312"/>
                      <w:sz w:val="19"/>
                    </w:rPr>
                    <w:t>（</w:t>
                  </w:r>
                  <w:r>
                    <w:rPr>
                      <w:rFonts w:ascii="仿宋_GB2312" w:hAnsi="仿宋_GB2312" w:cs="仿宋_GB2312" w:eastAsia="仿宋_GB2312"/>
                      <w:sz w:val="19"/>
                    </w:rPr>
                    <w:t>1）交换机：三层网管交换机，≥24个万兆SFP+光口，上行扩展≥3个100G QSFP+上行端口（或可扩展插槽）；交换容量：≥ 480 Gbps；包转发率≥ 360 Mpps。</w:t>
                  </w:r>
                  <w:r>
                    <w:br/>
                  </w:r>
                  <w:r>
                    <w:rPr>
                      <w:rFonts w:ascii="仿宋_GB2312" w:hAnsi="仿宋_GB2312" w:cs="仿宋_GB2312" w:eastAsia="仿宋_GB2312"/>
                      <w:sz w:val="19"/>
                    </w:rPr>
                    <w:t>（</w:t>
                  </w:r>
                  <w:r>
                    <w:rPr>
                      <w:rFonts w:ascii="仿宋_GB2312" w:hAnsi="仿宋_GB2312" w:cs="仿宋_GB2312" w:eastAsia="仿宋_GB2312"/>
                      <w:sz w:val="19"/>
                    </w:rPr>
                    <w:t>2）布线：机柜内部和机柜采用光纤布线，满足10台服务器的万兆接入需求。光纤跳线（机柜内）：LC-LC 双工多模光纤跳线，OM4等级；光纤配线架，19英寸机架式，1U高度，LC接口，满配耦合器和尾纤；机柜间主干光缆场景：若服务器与交换机位于不同机柜，需铺设主干光缆2根，12芯或24芯室内多模光缆（OM4）；理线架，1U水平理线架4个；辅助材料等齐全。</w:t>
                  </w:r>
                  <w:r>
                    <w:br/>
                  </w:r>
                  <w:r>
                    <w:rPr>
                      <w:rFonts w:ascii="仿宋_GB2312" w:hAnsi="仿宋_GB2312" w:cs="仿宋_GB2312" w:eastAsia="仿宋_GB2312"/>
                      <w:sz w:val="19"/>
                      <w:b/>
                    </w:rPr>
                    <w:t>5. 集群监控</w:t>
                  </w:r>
                  <w:r>
                    <w:rPr>
                      <w:rFonts w:ascii="仿宋_GB2312" w:hAnsi="仿宋_GB2312" w:cs="仿宋_GB2312" w:eastAsia="仿宋_GB2312"/>
                      <w:sz w:val="19"/>
                      <w:b/>
                    </w:rPr>
                    <w:t>终端</w:t>
                  </w:r>
                  <w:r>
                    <w:rPr>
                      <w:rFonts w:ascii="仿宋_GB2312" w:hAnsi="仿宋_GB2312" w:cs="仿宋_GB2312" w:eastAsia="仿宋_GB2312"/>
                      <w:sz w:val="19"/>
                      <w:b/>
                    </w:rPr>
                    <w:t>1套</w:t>
                  </w:r>
                  <w:r>
                    <w:br/>
                  </w:r>
                  <w:r>
                    <w:rPr>
                      <w:rFonts w:ascii="仿宋_GB2312" w:hAnsi="仿宋_GB2312" w:cs="仿宋_GB2312" w:eastAsia="仿宋_GB2312"/>
                      <w:sz w:val="19"/>
                    </w:rPr>
                    <w:t>处理器：</w:t>
                  </w:r>
                  <w:r>
                    <w:rPr>
                      <w:rFonts w:ascii="仿宋_GB2312" w:hAnsi="仿宋_GB2312" w:cs="仿宋_GB2312" w:eastAsia="仿宋_GB2312"/>
                      <w:sz w:val="19"/>
                    </w:rPr>
                    <w:t>1颗CPU，核心数≥8，线程数≥16，主频≥3.2GHz；内存：≥16GB DDR5；系统盘：≥1TB SSD，独立显卡≥8GB；显示配置：34英寸IPS屏≥2个，分辨率≥3440*1440，刷屏率≥150Hz，HDMI接口。</w:t>
                  </w:r>
                  <w:r>
                    <w:br/>
                  </w:r>
                </w:p>
                <w:p>
                  <w:pPr>
                    <w:pStyle w:val="null3"/>
                  </w:pPr>
                  <w:r>
                    <w:rPr>
                      <w:rFonts w:ascii="仿宋_GB2312" w:hAnsi="仿宋_GB2312" w:cs="仿宋_GB2312" w:eastAsia="仿宋_GB2312"/>
                      <w:sz w:val="19"/>
                      <w:b/>
                    </w:rPr>
                    <w:t>（二）系统软件技术要求</w:t>
                  </w:r>
                  <w:r>
                    <w:br/>
                  </w:r>
                  <w:r>
                    <w:rPr>
                      <w:rFonts w:ascii="仿宋_GB2312" w:hAnsi="仿宋_GB2312" w:cs="仿宋_GB2312" w:eastAsia="仿宋_GB2312"/>
                      <w:sz w:val="19"/>
                      <w:b/>
                    </w:rPr>
                    <w:t>1. 操作系统</w:t>
                  </w:r>
                </w:p>
                <w:p>
                  <w:pPr>
                    <w:pStyle w:val="null3"/>
                  </w:pPr>
                  <w:r>
                    <w:rPr>
                      <w:rFonts w:ascii="仿宋_GB2312" w:hAnsi="仿宋_GB2312" w:cs="仿宋_GB2312" w:eastAsia="仿宋_GB2312"/>
                      <w:sz w:val="19"/>
                    </w:rPr>
                    <w:t>支持</w:t>
                  </w:r>
                  <w:r>
                    <w:rPr>
                      <w:rFonts w:ascii="仿宋_GB2312" w:hAnsi="仿宋_GB2312" w:cs="仿宋_GB2312" w:eastAsia="仿宋_GB2312"/>
                      <w:sz w:val="19"/>
                    </w:rPr>
                    <w:t>Ubuntu + Rocky Linux 双发行版，提供开源社区支持。</w:t>
                  </w:r>
                  <w:r>
                    <w:br/>
                  </w:r>
                  <w:r>
                    <w:rPr>
                      <w:rFonts w:ascii="仿宋_GB2312" w:hAnsi="仿宋_GB2312" w:cs="仿宋_GB2312" w:eastAsia="仿宋_GB2312"/>
                      <w:sz w:val="19"/>
                      <w:b/>
                    </w:rPr>
                    <w:t>2. 平台搭建与技术服务</w:t>
                  </w:r>
                  <w:r>
                    <w:br/>
                  </w:r>
                  <w:r>
                    <w:rPr>
                      <w:rFonts w:ascii="仿宋_GB2312" w:hAnsi="仿宋_GB2312" w:cs="仿宋_GB2312" w:eastAsia="仿宋_GB2312"/>
                      <w:sz w:val="19"/>
                    </w:rPr>
                    <w:t>（</w:t>
                  </w:r>
                  <w:r>
                    <w:rPr>
                      <w:rFonts w:ascii="仿宋_GB2312" w:hAnsi="仿宋_GB2312" w:cs="仿宋_GB2312" w:eastAsia="仿宋_GB2312"/>
                      <w:sz w:val="19"/>
                    </w:rPr>
                    <w:t>1）并行计算环境：成并行计算平台搭建及网络系统配置，需支持MPI并行 + Singularity/Apptainer容器化并行，提供MPI并行环境、浮点计算数学库及编译工具链。</w:t>
                  </w:r>
                  <w:r>
                    <w:br/>
                  </w:r>
                  <w:r>
                    <w:rPr>
                      <w:rFonts w:ascii="仿宋_GB2312" w:hAnsi="仿宋_GB2312" w:cs="仿宋_GB2312" w:eastAsia="仿宋_GB2312"/>
                      <w:sz w:val="19"/>
                    </w:rPr>
                    <w:t>（</w:t>
                  </w:r>
                  <w:r>
                    <w:rPr>
                      <w:rFonts w:ascii="仿宋_GB2312" w:hAnsi="仿宋_GB2312" w:cs="仿宋_GB2312" w:eastAsia="仿宋_GB2312"/>
                      <w:sz w:val="19"/>
                    </w:rPr>
                    <w:t>2）文件系统与安全：配置网络文件系统（NFS/Lustre/GPFS等），完成系统安全设置及用户环境变量管理。</w:t>
                  </w:r>
                  <w:r>
                    <w:br/>
                  </w:r>
                  <w:r>
                    <w:rPr>
                      <w:rFonts w:ascii="仿宋_GB2312" w:hAnsi="仿宋_GB2312" w:cs="仿宋_GB2312" w:eastAsia="仿宋_GB2312"/>
                      <w:sz w:val="19"/>
                    </w:rPr>
                    <w:t>（</w:t>
                  </w:r>
                  <w:r>
                    <w:rPr>
                      <w:rFonts w:ascii="仿宋_GB2312" w:hAnsi="仿宋_GB2312" w:cs="仿宋_GB2312" w:eastAsia="仿宋_GB2312"/>
                      <w:sz w:val="19"/>
                    </w:rPr>
                    <w:t>3）软件安装支持：安装科学仿真软件（如Anaconda、PyTorch、TensorFlow、Caffe、CUDA、MS、VAPS等），负责数据库迁移，提供后续软件安装技术支持。</w:t>
                  </w:r>
                  <w:r>
                    <w:br/>
                  </w:r>
                  <w:r>
                    <w:rPr>
                      <w:rFonts w:ascii="仿宋_GB2312" w:hAnsi="仿宋_GB2312" w:cs="仿宋_GB2312" w:eastAsia="仿宋_GB2312"/>
                      <w:sz w:val="19"/>
                    </w:rPr>
                    <w:t>（</w:t>
                  </w:r>
                  <w:r>
                    <w:rPr>
                      <w:rFonts w:ascii="仿宋_GB2312" w:hAnsi="仿宋_GB2312" w:cs="仿宋_GB2312" w:eastAsia="仿宋_GB2312"/>
                      <w:sz w:val="19"/>
                    </w:rPr>
                    <w:t>4）升级与扩容：提供设备升级、扩容相关服务。</w:t>
                  </w:r>
                  <w:r>
                    <w:br/>
                  </w:r>
                  <w:r>
                    <w:rPr>
                      <w:rFonts w:ascii="仿宋_GB2312" w:hAnsi="仿宋_GB2312" w:cs="仿宋_GB2312" w:eastAsia="仿宋_GB2312"/>
                      <w:sz w:val="19"/>
                      <w:b/>
                    </w:rPr>
                    <w:t>3. 开发与运行环境</w:t>
                  </w:r>
                  <w:r>
                    <w:br/>
                  </w:r>
                  <w:r>
                    <w:rPr>
                      <w:rFonts w:ascii="仿宋_GB2312" w:hAnsi="仿宋_GB2312" w:cs="仿宋_GB2312" w:eastAsia="仿宋_GB2312"/>
                      <w:sz w:val="19"/>
                    </w:rPr>
                    <w:t>（</w:t>
                  </w:r>
                  <w:r>
                    <w:rPr>
                      <w:rFonts w:ascii="仿宋_GB2312" w:hAnsi="仿宋_GB2312" w:cs="仿宋_GB2312" w:eastAsia="仿宋_GB2312"/>
                      <w:sz w:val="19"/>
                    </w:rPr>
                    <w:t>1）编程语言支持：提供C、C++、Fortran、Python开发环境，支持并行计算编程，提供Rust、Julia支持，集成NVIDIA HPC SDK。</w:t>
                  </w:r>
                  <w:r>
                    <w:br/>
                  </w:r>
                  <w:r>
                    <w:rPr>
                      <w:rFonts w:ascii="仿宋_GB2312" w:hAnsi="仿宋_GB2312" w:cs="仿宋_GB2312" w:eastAsia="仿宋_GB2312"/>
                      <w:sz w:val="19"/>
                    </w:rPr>
                    <w:t>（</w:t>
                  </w:r>
                  <w:r>
                    <w:rPr>
                      <w:rFonts w:ascii="仿宋_GB2312" w:hAnsi="仿宋_GB2312" w:cs="仿宋_GB2312" w:eastAsia="仿宋_GB2312"/>
                      <w:sz w:val="19"/>
                    </w:rPr>
                    <w:t>2）编译器与工具：安装GCC、Gfortran、Intel Fortran、MPICH2等，支持并行编译。</w:t>
                  </w:r>
                  <w:r>
                    <w:br/>
                  </w:r>
                  <w:r>
                    <w:rPr>
                      <w:rFonts w:ascii="仿宋_GB2312" w:hAnsi="仿宋_GB2312" w:cs="仿宋_GB2312" w:eastAsia="仿宋_GB2312"/>
                      <w:sz w:val="19"/>
                    </w:rPr>
                    <w:t>（</w:t>
                  </w:r>
                  <w:r>
                    <w:rPr>
                      <w:rFonts w:ascii="仿宋_GB2312" w:hAnsi="仿宋_GB2312" w:cs="仿宋_GB2312" w:eastAsia="仿宋_GB2312"/>
                      <w:sz w:val="19"/>
                    </w:rPr>
                    <w:t>3）科学计算库：集成数值计算与数据分析库（如NumPy/SciPy），提供2D/3D图形函数支持。</w:t>
                  </w:r>
                  <w:r>
                    <w:br/>
                  </w:r>
                  <w:r>
                    <w:rPr>
                      <w:rFonts w:ascii="仿宋_GB2312" w:hAnsi="仿宋_GB2312" w:cs="仿宋_GB2312" w:eastAsia="仿宋_GB2312"/>
                      <w:sz w:val="19"/>
                    </w:rPr>
                    <w:t>（</w:t>
                  </w:r>
                  <w:r>
                    <w:rPr>
                      <w:rFonts w:ascii="仿宋_GB2312" w:hAnsi="仿宋_GB2312" w:cs="仿宋_GB2312" w:eastAsia="仿宋_GB2312"/>
                      <w:sz w:val="19"/>
                    </w:rPr>
                    <w:t>4）环境管理：配置多用户环境变量，支持模块化环境管理（如Environment Modules）。</w:t>
                  </w:r>
                  <w:r>
                    <w:br/>
                  </w:r>
                  <w:r>
                    <w:rPr>
                      <w:rFonts w:ascii="仿宋_GB2312" w:hAnsi="仿宋_GB2312" w:cs="仿宋_GB2312" w:eastAsia="仿宋_GB2312"/>
                      <w:sz w:val="19"/>
                      <w:b/>
                    </w:rPr>
                    <w:t>4. 计算模拟环境</w:t>
                  </w:r>
                </w:p>
                <w:p>
                  <w:pPr>
                    <w:pStyle w:val="null3"/>
                    <w:ind w:firstLine="200"/>
                  </w:pPr>
                  <w:r>
                    <w:rPr>
                      <w:rFonts w:ascii="仿宋_GB2312" w:hAnsi="仿宋_GB2312" w:cs="仿宋_GB2312" w:eastAsia="仿宋_GB2312"/>
                      <w:sz w:val="19"/>
                    </w:rPr>
                    <w:t>（</w:t>
                  </w:r>
                  <w:r>
                    <w:rPr>
                      <w:rFonts w:ascii="仿宋_GB2312" w:hAnsi="仿宋_GB2312" w:cs="仿宋_GB2312" w:eastAsia="仿宋_GB2312"/>
                      <w:sz w:val="19"/>
                    </w:rPr>
                    <w:t>1）数值计算环境：预装科学计算、设计仿真、深度学习（人工智能）、大模型训练开发等环境，支持高级数据结构及2D/3D图形可视化。</w:t>
                  </w:r>
                  <w:r>
                    <w:br/>
                  </w:r>
                  <w:r>
                    <w:rPr>
                      <w:rFonts w:ascii="仿宋_GB2312" w:hAnsi="仿宋_GB2312" w:cs="仿宋_GB2312" w:eastAsia="仿宋_GB2312"/>
                      <w:sz w:val="19"/>
                    </w:rPr>
                    <w:t>（</w:t>
                  </w:r>
                  <w:r>
                    <w:rPr>
                      <w:rFonts w:ascii="仿宋_GB2312" w:hAnsi="仿宋_GB2312" w:cs="仿宋_GB2312" w:eastAsia="仿宋_GB2312"/>
                      <w:sz w:val="19"/>
                    </w:rPr>
                    <w:t>2）数据分析与绘图：集成科学数据分析与绘图工具，支持数据平滑、曲线拟合、多种图形输出格式，提供交互式GUI。</w:t>
                  </w:r>
                  <w:r>
                    <w:br/>
                  </w:r>
                  <w:r>
                    <w:rPr>
                      <w:rFonts w:ascii="仿宋_GB2312" w:hAnsi="仿宋_GB2312" w:cs="仿宋_GB2312" w:eastAsia="仿宋_GB2312"/>
                      <w:sz w:val="19"/>
                      <w:b/>
                    </w:rPr>
                    <w:t>5. 集群管理系统</w:t>
                  </w:r>
                </w:p>
                <w:p>
                  <w:pPr>
                    <w:pStyle w:val="null3"/>
                  </w:pPr>
                  <w:r>
                    <w:rPr>
                      <w:rFonts w:ascii="仿宋_GB2312" w:hAnsi="仿宋_GB2312" w:cs="仿宋_GB2312" w:eastAsia="仿宋_GB2312"/>
                      <w:sz w:val="19"/>
                    </w:rPr>
                    <w:t>（</w:t>
                  </w:r>
                  <w:r>
                    <w:rPr>
                      <w:rFonts w:ascii="仿宋_GB2312" w:hAnsi="仿宋_GB2312" w:cs="仿宋_GB2312" w:eastAsia="仿宋_GB2312"/>
                      <w:sz w:val="19"/>
                    </w:rPr>
                    <w:t>1）管理软件平台兼容性：支持Linux等多种架构，兼容多种发行版。</w:t>
                  </w:r>
                  <w:r>
                    <w:br/>
                  </w:r>
                  <w:r>
                    <w:rPr>
                      <w:rFonts w:ascii="仿宋_GB2312" w:hAnsi="仿宋_GB2312" w:cs="仿宋_GB2312" w:eastAsia="仿宋_GB2312"/>
                      <w:sz w:val="19"/>
                    </w:rPr>
                    <w:t>（</w:t>
                  </w:r>
                  <w:r>
                    <w:rPr>
                      <w:rFonts w:ascii="仿宋_GB2312" w:hAnsi="仿宋_GB2312" w:cs="仿宋_GB2312" w:eastAsia="仿宋_GB2312"/>
                      <w:sz w:val="19"/>
                    </w:rPr>
                    <w:t>2）统一管理界面：提供Web管理门户，实时监控CPU/内存/硬盘/GPU/风扇/温度/电源状态，支持故障告警、远程开关机、操作系统批量部署、软件环境统一配置、用户权限管理及操作日志审计。</w:t>
                  </w:r>
                  <w:r>
                    <w:br/>
                  </w:r>
                  <w:r>
                    <w:rPr>
                      <w:rFonts w:ascii="仿宋_GB2312" w:hAnsi="仿宋_GB2312" w:cs="仿宋_GB2312" w:eastAsia="仿宋_GB2312"/>
                      <w:sz w:val="19"/>
                    </w:rPr>
                    <w:t>（</w:t>
                  </w:r>
                  <w:r>
                    <w:rPr>
                      <w:rFonts w:ascii="仿宋_GB2312" w:hAnsi="仿宋_GB2312" w:cs="仿宋_GB2312" w:eastAsia="仿宋_GB2312"/>
                      <w:sz w:val="19"/>
                    </w:rPr>
                    <w:t>3）作业调度系统：支持AI智能调度（负载预测、智能回填）+ 联邦集群调度。</w:t>
                  </w:r>
                  <w:r>
                    <w:br/>
                  </w:r>
                  <w:r>
                    <w:rPr>
                      <w:rFonts w:ascii="仿宋_GB2312" w:hAnsi="仿宋_GB2312" w:cs="仿宋_GB2312" w:eastAsia="仿宋_GB2312"/>
                      <w:sz w:val="19"/>
                      <w:b/>
                    </w:rPr>
                    <w:t>6</w:t>
                  </w:r>
                  <w:r>
                    <w:rPr>
                      <w:rFonts w:ascii="仿宋_GB2312" w:hAnsi="仿宋_GB2312" w:cs="仿宋_GB2312" w:eastAsia="仿宋_GB2312"/>
                      <w:sz w:val="19"/>
                    </w:rPr>
                    <w:t>.</w:t>
                  </w:r>
                  <w:r>
                    <w:rPr>
                      <w:rFonts w:ascii="仿宋_GB2312" w:hAnsi="仿宋_GB2312" w:cs="仿宋_GB2312" w:eastAsia="仿宋_GB2312"/>
                      <w:sz w:val="19"/>
                      <w:b/>
                    </w:rPr>
                    <w:t>作业调度功能</w:t>
                  </w:r>
                  <w:r>
                    <w:br/>
                  </w:r>
                  <w:r>
                    <w:rPr>
                      <w:rFonts w:ascii="仿宋_GB2312" w:hAnsi="仿宋_GB2312" w:cs="仿宋_GB2312" w:eastAsia="仿宋_GB2312"/>
                      <w:sz w:val="19"/>
                    </w:rPr>
                    <w:t>（</w:t>
                  </w:r>
                  <w:r>
                    <w:rPr>
                      <w:rFonts w:ascii="仿宋_GB2312" w:hAnsi="仿宋_GB2312" w:cs="仿宋_GB2312" w:eastAsia="仿宋_GB2312"/>
                      <w:sz w:val="19"/>
                    </w:rPr>
                    <w:t>1）调度策略：支持先来先服务、优先级抢占、公平共享、资源独占等多策略；支持多队列管理，动态调整用户优先级。</w:t>
                  </w:r>
                  <w:r>
                    <w:br/>
                  </w:r>
                  <w:r>
                    <w:rPr>
                      <w:rFonts w:ascii="仿宋_GB2312" w:hAnsi="仿宋_GB2312" w:cs="仿宋_GB2312" w:eastAsia="仿宋_GB2312"/>
                      <w:sz w:val="19"/>
                    </w:rPr>
                    <w:t>（</w:t>
                  </w:r>
                  <w:r>
                    <w:rPr>
                      <w:rFonts w:ascii="仿宋_GB2312" w:hAnsi="仿宋_GB2312" w:cs="仿宋_GB2312" w:eastAsia="仿宋_GB2312"/>
                      <w:sz w:val="19"/>
                    </w:rPr>
                    <w:t>2）作业操作：支持作业提交、暂停、恢复、杀死、置顶/置底、断点续算、重新运行；支持批量作业上传下载及远程操作。</w:t>
                  </w:r>
                  <w:r>
                    <w:br/>
                  </w:r>
                  <w:r>
                    <w:rPr>
                      <w:rFonts w:ascii="仿宋_GB2312" w:hAnsi="仿宋_GB2312" w:cs="仿宋_GB2312" w:eastAsia="仿宋_GB2312"/>
                      <w:sz w:val="19"/>
                    </w:rPr>
                    <w:t>（</w:t>
                  </w:r>
                  <w:r>
                    <w:rPr>
                      <w:rFonts w:ascii="仿宋_GB2312" w:hAnsi="仿宋_GB2312" w:cs="仿宋_GB2312" w:eastAsia="仿宋_GB2312"/>
                      <w:sz w:val="19"/>
                    </w:rPr>
                    <w:t>3）混合调度：支持作业与普通作业混合调度，作业期间动态设置SSH等安全策略，作业结束后自动回收权限。</w:t>
                  </w:r>
                  <w:r>
                    <w:br/>
                  </w:r>
                  <w:r>
                    <w:rPr>
                      <w:rFonts w:ascii="仿宋_GB2312" w:hAnsi="仿宋_GB2312" w:cs="仿宋_GB2312" w:eastAsia="仿宋_GB2312"/>
                      <w:sz w:val="19"/>
                    </w:rPr>
                    <w:t>（</w:t>
                  </w:r>
                  <w:r>
                    <w:rPr>
                      <w:rFonts w:ascii="仿宋_GB2312" w:hAnsi="仿宋_GB2312" w:cs="仿宋_GB2312" w:eastAsia="仿宋_GB2312"/>
                      <w:sz w:val="19"/>
                    </w:rPr>
                    <w:t>4）容错机制：支持系统级（网络中断、宕机）和作业级（磁盘满、许可失败）容错，故障作业自动重新调度。</w:t>
                  </w:r>
                  <w:r>
                    <w:br/>
                  </w:r>
                  <w:r>
                    <w:rPr>
                      <w:rFonts w:ascii="仿宋_GB2312" w:hAnsi="仿宋_GB2312" w:cs="仿宋_GB2312" w:eastAsia="仿宋_GB2312"/>
                      <w:sz w:val="19"/>
                    </w:rPr>
                    <w:t>（</w:t>
                  </w:r>
                  <w:r>
                    <w:rPr>
                      <w:rFonts w:ascii="仿宋_GB2312" w:hAnsi="仿宋_GB2312" w:cs="仿宋_GB2312" w:eastAsia="仿宋_GB2312"/>
                      <w:sz w:val="19"/>
                    </w:rPr>
                    <w:t>5）升级与服务：提供调度系统后期免费升级，支持平台状态动态监控与历史数据分析（上电时间、负载、CPU/内存/磁盘/网络等）。</w:t>
                  </w:r>
                  <w:r>
                    <w:br/>
                  </w:r>
                  <w:r>
                    <w:rPr>
                      <w:rFonts w:ascii="仿宋_GB2312" w:hAnsi="仿宋_GB2312" w:cs="仿宋_GB2312" w:eastAsia="仿宋_GB2312"/>
                      <w:sz w:val="19"/>
                      <w:b/>
                    </w:rPr>
                    <w:t>7.配套资源库</w:t>
                  </w:r>
                  <w:r>
                    <w:br/>
                  </w:r>
                  <w:r>
                    <w:rPr>
                      <w:rFonts w:ascii="仿宋_GB2312" w:hAnsi="仿宋_GB2312" w:cs="仿宋_GB2312" w:eastAsia="仿宋_GB2312"/>
                      <w:sz w:val="19"/>
                    </w:rPr>
                    <w:t>（</w:t>
                  </w:r>
                  <w:r>
                    <w:rPr>
                      <w:rFonts w:ascii="仿宋_GB2312" w:hAnsi="仿宋_GB2312" w:cs="仿宋_GB2312" w:eastAsia="仿宋_GB2312"/>
                      <w:sz w:val="19"/>
                    </w:rPr>
                    <w:t>1）AI和数据科学开发库；</w:t>
                  </w:r>
                  <w:r>
                    <w:br/>
                  </w:r>
                  <w:r>
                    <w:rPr>
                      <w:rFonts w:ascii="仿宋_GB2312" w:hAnsi="仿宋_GB2312" w:cs="仿宋_GB2312" w:eastAsia="仿宋_GB2312"/>
                      <w:sz w:val="19"/>
                    </w:rPr>
                    <w:t>（</w:t>
                  </w:r>
                  <w:r>
                    <w:rPr>
                      <w:rFonts w:ascii="仿宋_GB2312" w:hAnsi="仿宋_GB2312" w:cs="仿宋_GB2312" w:eastAsia="仿宋_GB2312"/>
                      <w:sz w:val="19"/>
                    </w:rPr>
                    <w:t>2）设计和虚拟仿真开发库；</w:t>
                  </w:r>
                  <w:r>
                    <w:br/>
                  </w:r>
                  <w:r>
                    <w:rPr>
                      <w:rFonts w:ascii="仿宋_GB2312" w:hAnsi="仿宋_GB2312" w:cs="仿宋_GB2312" w:eastAsia="仿宋_GB2312"/>
                      <w:sz w:val="19"/>
                    </w:rPr>
                    <w:t>（</w:t>
                  </w:r>
                  <w:r>
                    <w:rPr>
                      <w:rFonts w:ascii="仿宋_GB2312" w:hAnsi="仿宋_GB2312" w:cs="仿宋_GB2312" w:eastAsia="仿宋_GB2312"/>
                      <w:sz w:val="19"/>
                    </w:rPr>
                    <w:t>3）高性能科学计算库；</w:t>
                  </w:r>
                  <w:r>
                    <w:br/>
                  </w:r>
                  <w:r>
                    <w:rPr>
                      <w:rFonts w:ascii="仿宋_GB2312" w:hAnsi="仿宋_GB2312" w:cs="仿宋_GB2312" w:eastAsia="仿宋_GB2312"/>
                      <w:sz w:val="19"/>
                    </w:rPr>
                    <w:t>（</w:t>
                  </w:r>
                  <w:r>
                    <w:rPr>
                      <w:rFonts w:ascii="仿宋_GB2312" w:hAnsi="仿宋_GB2312" w:cs="仿宋_GB2312" w:eastAsia="仿宋_GB2312"/>
                      <w:sz w:val="19"/>
                    </w:rPr>
                    <w:t>4）机器开发边缘计算库；</w:t>
                  </w:r>
                  <w:r>
                    <w:br/>
                  </w:r>
                  <w:r>
                    <w:rPr>
                      <w:rFonts w:ascii="仿宋_GB2312" w:hAnsi="仿宋_GB2312" w:cs="仿宋_GB2312" w:eastAsia="仿宋_GB2312"/>
                      <w:sz w:val="19"/>
                    </w:rPr>
                    <w:t>（</w:t>
                  </w:r>
                  <w:r>
                    <w:rPr>
                      <w:rFonts w:ascii="仿宋_GB2312" w:hAnsi="仿宋_GB2312" w:cs="仿宋_GB2312" w:eastAsia="仿宋_GB2312"/>
                      <w:sz w:val="19"/>
                    </w:rPr>
                    <w:t>6）深度学习与人工智能开发库；</w:t>
                  </w:r>
                  <w:r>
                    <w:br/>
                  </w:r>
                  <w:r>
                    <w:rPr>
                      <w:rFonts w:ascii="仿宋_GB2312" w:hAnsi="仿宋_GB2312" w:cs="仿宋_GB2312" w:eastAsia="仿宋_GB2312"/>
                      <w:sz w:val="19"/>
                    </w:rPr>
                    <w:t>（</w:t>
                  </w:r>
                  <w:r>
                    <w:rPr>
                      <w:rFonts w:ascii="仿宋_GB2312" w:hAnsi="仿宋_GB2312" w:cs="仿宋_GB2312" w:eastAsia="仿宋_GB2312"/>
                      <w:sz w:val="19"/>
                    </w:rPr>
                    <w:t>7）大模型部署开发规划及应用软件。</w:t>
                  </w:r>
                </w:p>
              </w:tc>
              <w:tc>
                <w:tcPr>
                  <w:tcW w:type="dxa" w:w="3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合同签订之日起30日历日内完成交付使用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西安文理学院指定地点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 ，货到安装调试，验收合格后，达到付款条件起14个工作日内，支付合同总金额的80.0%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进度款，剩余财政资金下一年到位后支付，达到付款条件起14个工作日内，支付合同总金额的20.0%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按照采购文件的相关规定执行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质保期：验收合格后 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按照采购文件的相关规定执行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本项目核心产品为“GPU计算节点”。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投标人提供2025年11月1日至今已缴纳的至少一个月的纳税证明或完税证明（除印花税以外的任意税种），纳税证明或完税证明上应有代收机构或税务机关的公章或业务专用章，依法免税的单位应提供相关证明材料。 3.投标人提供2025年11月1日至今已缴存的至少一个月的社会保障资金缴存单据或社保机构开具的社会保险参保缴费情况证明，单据或证明上应有社保机构或代收机构的公章或业务专用章，依法不需要缴纳社会保障资金的单位应提供相关证明材料。 4.投标人提供具有履行合同所必需的设备和专业技术能力的承诺声明。 5.投标人提供参加政府采购活动前3年内，在经营活动中没有重大违法记录的书面声明。投标人需在项目电子化交易系统中按要求上传相应证明文件并进行电子签章。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提供具有财务审计资质单位出具的完整的2024年度或2025年度赋码的财务审计报告（投标人成立时间至投标文件递交截止时间不足一年的可提供成立后任意时段的资产负债表）或投标文件递交截止时间前六个月内其开户银行出具的资信证明（附开户许可证或基本存款账户信息） 。投标人需在项目电子化交易系统中按要求上传相应证明文件并进行电子签章。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失信主体，不得为中国政府采购网(www.ccgp.gov.cn)政府采购严重违法失信行为记录名单中被财政部门禁止参加政府采购活动的单位。</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法定代表人或其授权委托书</w:t>
            </w:r>
          </w:p>
        </w:tc>
        <w:tc>
          <w:tcPr>
            <w:tcW w:type="dxa" w:w="3322"/>
          </w:tcPr>
          <w:p>
            <w:pPr>
              <w:pStyle w:val="null3"/>
            </w:pPr>
            <w:r>
              <w:rPr>
                <w:rFonts w:ascii="仿宋_GB2312" w:hAnsi="仿宋_GB2312" w:cs="仿宋_GB2312" w:eastAsia="仿宋_GB2312"/>
              </w:rPr>
              <w:t>法定代表人直接参加投标的，须出具法定代表人身份证明书；法定代表人授权代表参加投标的，须出具法定代表人授权委托书。</w:t>
            </w:r>
          </w:p>
        </w:tc>
        <w:tc>
          <w:tcPr>
            <w:tcW w:type="dxa" w:w="1661"/>
          </w:tcPr>
          <w:p>
            <w:pPr>
              <w:pStyle w:val="null3"/>
            </w:pPr>
            <w:r>
              <w:rPr>
                <w:rFonts w:ascii="仿宋_GB2312" w:hAnsi="仿宋_GB2312" w:cs="仿宋_GB2312" w:eastAsia="仿宋_GB2312"/>
              </w:rPr>
              <w:t>投标函 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投标文件的签字盖章符合招标文件要求。</w:t>
            </w:r>
          </w:p>
        </w:tc>
        <w:tc>
          <w:tcPr>
            <w:tcW w:type="dxa" w:w="1661"/>
          </w:tcPr>
          <w:p>
            <w:pPr>
              <w:pStyle w:val="null3"/>
            </w:pPr>
            <w:r>
              <w:rPr>
                <w:rFonts w:ascii="仿宋_GB2312" w:hAnsi="仿宋_GB2312" w:cs="仿宋_GB2312" w:eastAsia="仿宋_GB2312"/>
              </w:rPr>
              <w:t>开标一览表 中小企业声明函 产品技术参数表 分项报价表.docx 产品应答表.docx 投标函 其他应说明的事项.docx 残疾人福利性单位声明函 商务需求偏离表.docx 标的清单 投标人资格证明文件.docx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投标文件中项目名称、项目编号须与本项目招标文件完全一致。</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商务需求偏离表.docx 标的清单 投标人资格证明文件.docx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同时满足以下条款：（1）货币单位符合要求；（2）报价符合唯一性要求；（3）未超出采购预算或最高限价。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技术方案.docx 产品技术参数表 投标函 商务需求偏离表.docx 标的清单 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须完全响应招标文件中的商务要求，无负偏离;投标内容不得含有采购人不能接受的附加条件。</w:t>
            </w:r>
          </w:p>
        </w:tc>
        <w:tc>
          <w:tcPr>
            <w:tcW w:type="dxa" w:w="1661"/>
          </w:tcPr>
          <w:p>
            <w:pPr>
              <w:pStyle w:val="null3"/>
            </w:pPr>
            <w:r>
              <w:rPr>
                <w:rFonts w:ascii="仿宋_GB2312" w:hAnsi="仿宋_GB2312" w:cs="仿宋_GB2312" w:eastAsia="仿宋_GB2312"/>
              </w:rPr>
              <w:t>商务需求偏离表.docx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其他无效条款</w:t>
            </w:r>
          </w:p>
        </w:tc>
        <w:tc>
          <w:tcPr>
            <w:tcW w:type="dxa" w:w="3322"/>
          </w:tcPr>
          <w:p>
            <w:pPr>
              <w:pStyle w:val="null3"/>
            </w:pPr>
            <w:r>
              <w:rPr>
                <w:rFonts w:ascii="仿宋_GB2312" w:hAnsi="仿宋_GB2312" w:cs="仿宋_GB2312" w:eastAsia="仿宋_GB2312"/>
              </w:rPr>
              <w:t>没有出现法律法规或招标文件规定的其他无效情形。</w:t>
            </w:r>
          </w:p>
        </w:tc>
        <w:tc>
          <w:tcPr>
            <w:tcW w:type="dxa" w:w="1661"/>
          </w:tcPr>
          <w:p>
            <w:pPr>
              <w:pStyle w:val="null3"/>
            </w:pPr>
            <w:r>
              <w:rPr>
                <w:rFonts w:ascii="仿宋_GB2312" w:hAnsi="仿宋_GB2312" w:cs="仿宋_GB2312" w:eastAsia="仿宋_GB2312"/>
              </w:rPr>
              <w:t>开标一览表 产品技术参数表 标的清单 投标人资格证明文件.docx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对招标文件技术参数要求部分的所有指标，投标人应逐条进行响应。完全符合、响应或优于招标文件要求，没有负偏离的得35分。标▲项参数每负偏离一项扣5分，非▲项参数负偏离一项扣0.5分，扣完为止。 注：如果技术标准中对所提供证明资料有要求，以技术标准中要求的证明材料为准，未提供者视为负偏离。其余未作要求的以技术指标偏差表响应为准。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根据采购内容及要求制定实施方案。包括但不限于①项目实施计划（计划完整、工期合理、节点清晰、与高校教学安排适配）；②配送方案③安装调试方案（流程清晰、责任明确、验收标准具体）；④实验室建设与环境适配方案（符合高校实验室安全规范）；⑤人员配备方案（项目负责人、项目团队、团队结构合理、职责分工明确）；⑥应急预案及特殊情况处理措施（覆盖设备故障、断电断网、数据安全、工期延误等情形，措施有效）；⑦产品供货渠道（提供原厂授权、销售协议、代理协议等任意1种资料）；⑧质量保证措施（设备品质、出厂检测、验收标准、质量追溯体系完善等）；⑨售后服务保障内容（质保期明确、响应及时、上门服务、维保计划完善，贴合高校使用需求）；⑩产品使用培训方案（针对教师 / 学生分层培训、实操训练及课程化培训、资料齐全、可支撑教学科研）。 上述每项内容无缺陷得2分，满分为20分。方案内容每存在1处缺陷，扣0.5分，扣完为止。 注：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号）要求提供国家确定的认证机构出具的、处于有效期之内的节能产品或环境标志产品认证证书，每提供一个得2.5分，满分5分。政府强制采购产品不予加分。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投标人提供类似合同业绩（2023年1月至今，以合同签订时间为准并提供完整的合同复印件加盖公章），每提供一份得2分，满分10分。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其他应说明的事项.docx</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详见附件：商务需求偏离表.docx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详见附件：其他应说明的事项.docx</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详见附件：产品应答表.docx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