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版本号：ZCSP-临渭区-2026-0013720260614001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2026年临渭区交斜镇主粮加工车间项目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ZCSP-临渭区-2026-00137</w:t>
      </w:r>
      <w:r>
        <w:br/>
      </w:r>
      <w:r>
        <w:br/>
      </w:r>
      <w:r>
        <w:br/>
      </w:r>
    </w:p>
    <w:p>
      <w:pPr>
        <w:pStyle w:val="null3"/>
        <w:jc w:val="center"/>
        <w:outlineLvl w:val="2"/>
      </w:pPr>
      <w:r>
        <w:rPr>
          <w:rFonts w:ascii="仿宋_GB2312" w:hAnsi="仿宋_GB2312" w:cs="仿宋_GB2312" w:eastAsia="仿宋_GB2312"/>
          <w:sz w:val="28"/>
          <w:b/>
        </w:rPr>
        <w:t>陕西省渭南市临渭区交斜镇人民政府</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陕西省渭南市临渭区交斜镇人民政府</w:t>
      </w:r>
      <w:r>
        <w:rPr>
          <w:rFonts w:ascii="仿宋_GB2312" w:hAnsi="仿宋_GB2312" w:cs="仿宋_GB2312" w:eastAsia="仿宋_GB2312"/>
        </w:rPr>
        <w:t>委托，拟对</w:t>
      </w:r>
      <w:r>
        <w:rPr>
          <w:rFonts w:ascii="仿宋_GB2312" w:hAnsi="仿宋_GB2312" w:cs="仿宋_GB2312" w:eastAsia="仿宋_GB2312"/>
        </w:rPr>
        <w:t>2026年临渭区交斜镇主粮加工车间项目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2026年临渭区交斜镇主粮加工车间项目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项目位于临渭区交斜镇来化村。主要建设内容为新建主粮加工车间一座，建筑面积1052.56平方米(长36.7米、宽28.68米)，室外硬化路面1028.94平方米及水电配套设施。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采购包1（2026年临渭区交斜镇主粮加工车间项目）：属于专门面向中小企业采购。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1、企业资质：供应商须具备建筑工程施工总承包三级（含三级）及以上资质，并具有有效的安全生产许可证</w:t>
      </w:r>
    </w:p>
    <w:p>
      <w:pPr>
        <w:pStyle w:val="null3"/>
      </w:pPr>
      <w:r>
        <w:rPr>
          <w:rFonts w:ascii="仿宋_GB2312" w:hAnsi="仿宋_GB2312" w:cs="仿宋_GB2312" w:eastAsia="仿宋_GB2312"/>
        </w:rPr>
        <w:t>2、项目经理：拟派项目经理须具有建筑工程二级（含二级）及以上注册建造师资格并具有有效的安全生产考核合格证，且无在建工程</w:t>
      </w:r>
    </w:p>
    <w:p>
      <w:pPr>
        <w:pStyle w:val="null3"/>
      </w:pPr>
      <w:r>
        <w:rPr>
          <w:rFonts w:ascii="仿宋_GB2312" w:hAnsi="仿宋_GB2312" w:cs="仿宋_GB2312" w:eastAsia="仿宋_GB2312"/>
        </w:rPr>
        <w:t>3、法定代表人身份证明书/法定代表人授权书：法定代表人参与磋商时需提供法定代表人身份证明书；被授权人参与磋商时需提供法定代表人身份证明书及法定代表人授权委托书；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4、磋商保证金：磋商保证金交纳凭证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陕西省渭南市临渭区交斜镇人民政府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陕西省渭南市临渭区交斜街道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0913-2655332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陕西省渭南市临渭区乐天大街福乐新村东1号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陕西省渭南市临渭区交斜镇人民政府</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陕西省渭南市临渭区交斜镇人民政府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陕西省渭南市临渭区交斜镇人民政府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1、本工程应按工程量清单及磋商文件全部内容完成。 2、本工程验收标准应符合国家相关工程管理规定及行业标准。 3、依据磋商文件及成交人响应文件及签证单等文件内容进行验收。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联系人：田晶</w:t>
      </w:r>
    </w:p>
    <w:p>
      <w:pPr>
        <w:pStyle w:val="null3"/>
      </w:pPr>
      <w:r>
        <w:rPr>
          <w:rFonts w:ascii="仿宋_GB2312" w:hAnsi="仿宋_GB2312" w:cs="仿宋_GB2312" w:eastAsia="仿宋_GB2312"/>
        </w:rPr>
        <w:t>联系电话：0913-213068</w:t>
      </w:r>
    </w:p>
    <w:p>
      <w:pPr>
        <w:pStyle w:val="null3"/>
      </w:pPr>
      <w:r>
        <w:rPr>
          <w:rFonts w:ascii="仿宋_GB2312" w:hAnsi="仿宋_GB2312" w:cs="仿宋_GB2312" w:eastAsia="仿宋_GB2312"/>
        </w:rPr>
        <w:t>地址：陕西省渭南市临渭区解放路与双王街十字东南角商贸楼三楼东侧（槐衙曦和公馆南门斜对面）</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2,987,927.17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2026年临渭区交斜镇主粮加工车间项目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标的名称：2026年临渭区交斜镇主粮加工车间项目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项目位于临渭区交斜镇来化村。主要建设内容为新建主粮加工车间一座，建筑面积1052.56平方米(长36.7米、宽28.68米)，室外硬化路面1028.94平方米及水电配套设施。</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满足国家相关标准、行业标准、地方标准或者其他标准、规范标准。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120日历天。（2）工程地点：交斜镇。（3）质量标准：合格。（4）质保期：自验收合格之日起一年。（5）付款方式：本工程付款依据工程进度情况按比例将进度应付款支付给供应商。合同签订后，拨付合同总金额的40%作为预付款。工程完工并验收合格后，进度款拨付至供应商合同总金额的90%；本工程竣工验收后需要进行结算审计，最终的结算审定金额为本工程的最终应付款，审计报告出具后支付剩余工程款。（6）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预算编制费：按照陕价行发[2014]88号文件规定计取；由中标（成交）供应商支付。2.中标（成交）供应商在中标（成交）结果公告发布后3个工作日内提供叁套纸质投标文件（经编标工具生成的文件直接打印），递交的纸质版文件内容确保与线上电子文件保持一致，不允许修改和补充。 3.中标（成交）供应商在中标（成交）结果公告发布后3个工作日内向采购人提交最终版《工程量清单表》，供应商最终版《工程量清单表》中的总报价应与最终磋商总报价保持一致。 4.关于印发中小企业划型标准规定的通知（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拟派项目经理须具有建筑工程二级（含二级）及以上注册建造师资格并具有有效的安全生产考核合格证，且无在建工程</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技术服务合同条款及其他商务要求应答表.docx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供应商名称应与营业执照、资质证书、安全生产许可证及获取磋商文件时相一致</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无其他无效磋商处理的情况</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③资源配备计划：主要施工机械设备、劳动力等配备计划及主材进场计划；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①施工进度计划及工期保障措施； ②各个进度衔接的保证措施。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①质量管理体系； ②施工质量保障措施。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①安全生产管理体系；②安全生产责任制度和安全教育培训制度；③各道工序安全技术措施。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（一）评审内容：①环境卫生管理制度； ②文明施工及环境保护措施。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（1）人员配备：拟投入的项目管理机构人员结构合理、岗位职责明确，除项目经理外，项目管理机构每配备1人得0.5分，本项最高得5分； （2）人员职称：项目管理人员中，除项目经理外，每具有一个工程类高级职称人员得1.5分，每具有一个工程类中级职称人员得1分,本项最高得4分。 注：须提供人员相关证件，不提供得0分。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供应商近三年（2023年6月至今）每具有1项类似业绩得1分，最多得5分，未提供得0分。（提供合同复印件加盖公章，以合同签订时间为准）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（一）供应商结合本项目的实施内容，有针对性的提出有利于项目实施的合理化建议，每条建议同时满足以下两项要求的计 1 分，最多计 6 分。未提交合理化建议的，本项得 0 分。 ① 建议内容紧扣本项目专属工况、磋商文件明确的项目需求，不得套用通用模板、行业空话； ② 每条建议须同时写明：具体落地操作措施及实施后可实现的正向效益（如质量提升、安全风险降低、工期优化、扬尘管控、成本节约等）。 （二）出现下列情形之一的，本条建议不计分： ① 内容空洞，仅有观点、口号，无具体实施措施； ② 未结合本项目实际，内容与本工程施工无关； ③ 仅提出想法，未说明实施举措及优化效果； ④ 多条建议核心内容重复、表述雷同，仅按 1 条计分； ⑤ 建议内容违反现行工程规范、磋商文件相关要求； ⑥ 单纯摘抄、复述响应文件中已有的施工组织设计、管理制度、技术方案等基础内容。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（1）不高于最高限价，且经磋商小组评审不低于成本价的最终磋商报价为有效磋商报价。 (2) 满足竞争性磋商文件要求且磋商价格最低的最终磋商报价为磋商基准价，得满分35分； (3) 磋商报价得分=(磋商基准价／最终磋商报价)×35%×100。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