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45552">
      <w:pPr>
        <w:spacing w:before="81" w:line="219" w:lineRule="auto"/>
        <w:ind w:left="245"/>
        <w:jc w:val="center"/>
        <w:rPr>
          <w:rFonts w:hint="eastAsia" w:ascii="宋体" w:hAnsi="宋体" w:eastAsia="宋体" w:cs="宋体"/>
          <w:sz w:val="36"/>
          <w:szCs w:val="36"/>
        </w:rPr>
      </w:pPr>
      <w:r>
        <w:rPr>
          <w:rFonts w:hint="eastAsia" w:ascii="宋体" w:hAnsi="宋体" w:eastAsia="宋体" w:cs="宋体"/>
          <w:spacing w:val="4"/>
          <w:sz w:val="36"/>
          <w:szCs w:val="36"/>
        </w:rPr>
        <w:t>政府采购需求书(服务类)</w:t>
      </w:r>
    </w:p>
    <w:p w14:paraId="58264F0D">
      <w:pPr>
        <w:spacing w:line="204" w:lineRule="exact"/>
        <w:rPr>
          <w:rFonts w:hint="eastAsia" w:ascii="宋体" w:hAnsi="宋体" w:eastAsia="宋体" w:cs="宋体"/>
        </w:rPr>
      </w:pPr>
    </w:p>
    <w:tbl>
      <w:tblPr>
        <w:tblStyle w:val="12"/>
        <w:tblW w:w="103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516"/>
        <w:gridCol w:w="8170"/>
      </w:tblGrid>
      <w:tr w14:paraId="16F2E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7" w:hRule="atLeast"/>
        </w:trPr>
        <w:tc>
          <w:tcPr>
            <w:tcW w:w="674" w:type="dxa"/>
            <w:vAlign w:val="center"/>
          </w:tcPr>
          <w:p w14:paraId="38BF9C37">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序号</w:t>
            </w:r>
          </w:p>
        </w:tc>
        <w:tc>
          <w:tcPr>
            <w:tcW w:w="1516" w:type="dxa"/>
            <w:vAlign w:val="center"/>
          </w:tcPr>
          <w:p w14:paraId="0E7C0B1E">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关键事项</w:t>
            </w:r>
          </w:p>
        </w:tc>
        <w:tc>
          <w:tcPr>
            <w:tcW w:w="8170" w:type="dxa"/>
            <w:vAlign w:val="center"/>
          </w:tcPr>
          <w:p w14:paraId="7766C00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z w:val="28"/>
                <w:szCs w:val="28"/>
              </w:rPr>
            </w:pPr>
            <w:r>
              <w:rPr>
                <w:rFonts w:hint="eastAsia" w:ascii="宋体" w:hAnsi="宋体" w:eastAsia="宋体" w:cs="宋体"/>
                <w:sz w:val="28"/>
                <w:szCs w:val="28"/>
              </w:rPr>
              <w:t>说 明 和 要 求</w:t>
            </w:r>
          </w:p>
        </w:tc>
      </w:tr>
      <w:tr w14:paraId="3C1CD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4" w:hRule="atLeast"/>
        </w:trPr>
        <w:tc>
          <w:tcPr>
            <w:tcW w:w="674" w:type="dxa"/>
            <w:vAlign w:val="center"/>
          </w:tcPr>
          <w:p w14:paraId="69C48C88">
            <w:pPr>
              <w:jc w:val="center"/>
              <w:rPr>
                <w:rFonts w:hint="eastAsia" w:ascii="宋体" w:hAnsi="宋体" w:eastAsia="宋体" w:cs="宋体"/>
                <w:sz w:val="24"/>
                <w:szCs w:val="24"/>
              </w:rPr>
            </w:pPr>
            <w:r>
              <w:rPr>
                <w:rFonts w:hint="eastAsia" w:ascii="宋体" w:hAnsi="宋体" w:eastAsia="宋体" w:cs="宋体"/>
                <w:sz w:val="24"/>
                <w:szCs w:val="24"/>
              </w:rPr>
              <w:t>1</w:t>
            </w:r>
          </w:p>
        </w:tc>
        <w:tc>
          <w:tcPr>
            <w:tcW w:w="1516" w:type="dxa"/>
            <w:vAlign w:val="center"/>
          </w:tcPr>
          <w:p w14:paraId="4D2E41DB">
            <w:pPr>
              <w:jc w:val="center"/>
              <w:rPr>
                <w:rFonts w:hint="eastAsia" w:ascii="宋体" w:hAnsi="宋体" w:eastAsia="宋体" w:cs="宋体"/>
                <w:sz w:val="24"/>
                <w:szCs w:val="24"/>
              </w:rPr>
            </w:pPr>
            <w:r>
              <w:rPr>
                <w:rFonts w:hint="eastAsia" w:ascii="宋体" w:hAnsi="宋体" w:eastAsia="宋体" w:cs="宋体"/>
                <w:sz w:val="24"/>
                <w:szCs w:val="24"/>
              </w:rPr>
              <w:t>采购预算</w:t>
            </w:r>
          </w:p>
        </w:tc>
        <w:tc>
          <w:tcPr>
            <w:tcW w:w="8170" w:type="dxa"/>
            <w:vAlign w:val="center"/>
          </w:tcPr>
          <w:p w14:paraId="30A1BC88">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z w:val="24"/>
                <w:szCs w:val="24"/>
                <w:u w:val="none"/>
                <w:lang w:val="en-US" w:eastAsia="zh-CN"/>
              </w:rPr>
            </w:pPr>
            <w:r>
              <w:rPr>
                <w:rFonts w:hint="eastAsia" w:ascii="宋体" w:hAnsi="宋体" w:eastAsia="宋体" w:cs="宋体"/>
                <w:b/>
                <w:bCs/>
                <w:sz w:val="24"/>
                <w:szCs w:val="24"/>
                <w:highlight w:val="none"/>
                <w:lang w:val="en-US" w:eastAsia="zh-CN"/>
              </w:rPr>
              <w:t>总预算：</w:t>
            </w:r>
            <w:r>
              <w:rPr>
                <w:rFonts w:hint="eastAsia" w:ascii="宋体" w:hAnsi="宋体" w:eastAsia="宋体" w:cs="宋体"/>
                <w:b/>
                <w:bCs/>
                <w:sz w:val="24"/>
                <w:szCs w:val="24"/>
                <w:highlight w:val="none"/>
                <w:u w:val="single"/>
                <w:lang w:val="en-US" w:eastAsia="zh-CN"/>
              </w:rPr>
              <w:t xml:space="preserve"> 900000.00  </w:t>
            </w:r>
            <w:r>
              <w:rPr>
                <w:rFonts w:hint="eastAsia" w:ascii="宋体" w:hAnsi="宋体" w:eastAsia="宋体" w:cs="宋体"/>
                <w:b/>
                <w:bCs/>
                <w:sz w:val="24"/>
                <w:szCs w:val="24"/>
                <w:highlight w:val="none"/>
                <w:u w:val="none"/>
                <w:lang w:val="en-US" w:eastAsia="zh-CN"/>
              </w:rPr>
              <w:t>元</w:t>
            </w:r>
            <w:r>
              <w:rPr>
                <w:rFonts w:hint="eastAsia" w:ascii="宋体" w:hAnsi="宋体" w:eastAsia="宋体" w:cs="宋体"/>
                <w:b/>
                <w:bCs/>
                <w:sz w:val="24"/>
                <w:szCs w:val="24"/>
                <w:u w:val="none"/>
                <w:lang w:val="en-US" w:eastAsia="zh-CN"/>
              </w:rPr>
              <w:t>；</w:t>
            </w:r>
          </w:p>
          <w:p w14:paraId="59980CEA">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仅指与本次采购标的直接相关的费用，前期勘察费、设计费等已发生的费用以及监理费、接口费等为未来预留费用，不应当包含在本项目采购预算内，甲方须向本级财政部门经费业务处室申请办理经费剥离手续</w:t>
            </w:r>
            <w:r>
              <w:rPr>
                <w:rFonts w:hint="eastAsia" w:ascii="宋体" w:hAnsi="宋体" w:eastAsia="宋体" w:cs="宋体"/>
                <w:sz w:val="24"/>
                <w:szCs w:val="24"/>
                <w:lang w:eastAsia="zh-CN"/>
              </w:rPr>
              <w:t>。</w:t>
            </w:r>
          </w:p>
        </w:tc>
      </w:tr>
      <w:tr w14:paraId="55C0E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8" w:hRule="atLeast"/>
        </w:trPr>
        <w:tc>
          <w:tcPr>
            <w:tcW w:w="674" w:type="dxa"/>
            <w:vAlign w:val="center"/>
          </w:tcPr>
          <w:p w14:paraId="1623DEB3">
            <w:pPr>
              <w:jc w:val="center"/>
              <w:rPr>
                <w:rFonts w:hint="eastAsia" w:ascii="宋体" w:hAnsi="宋体" w:eastAsia="宋体" w:cs="宋体"/>
                <w:sz w:val="24"/>
                <w:szCs w:val="24"/>
              </w:rPr>
            </w:pPr>
            <w:r>
              <w:rPr>
                <w:rFonts w:hint="eastAsia" w:ascii="宋体" w:hAnsi="宋体" w:eastAsia="宋体" w:cs="宋体"/>
                <w:sz w:val="24"/>
                <w:szCs w:val="24"/>
              </w:rPr>
              <w:t>2</w:t>
            </w:r>
          </w:p>
        </w:tc>
        <w:tc>
          <w:tcPr>
            <w:tcW w:w="1516" w:type="dxa"/>
            <w:vAlign w:val="center"/>
          </w:tcPr>
          <w:p w14:paraId="5F2C5588">
            <w:pPr>
              <w:jc w:val="center"/>
              <w:rPr>
                <w:rFonts w:hint="eastAsia" w:ascii="宋体" w:hAnsi="宋体" w:eastAsia="宋体" w:cs="宋体"/>
                <w:sz w:val="24"/>
                <w:szCs w:val="24"/>
              </w:rPr>
            </w:pPr>
            <w:r>
              <w:rPr>
                <w:rFonts w:hint="eastAsia" w:ascii="宋体" w:hAnsi="宋体" w:eastAsia="宋体" w:cs="宋体"/>
                <w:sz w:val="24"/>
                <w:szCs w:val="24"/>
              </w:rPr>
              <w:t>最高限价</w:t>
            </w:r>
          </w:p>
        </w:tc>
        <w:tc>
          <w:tcPr>
            <w:tcW w:w="8170" w:type="dxa"/>
            <w:vAlign w:val="center"/>
          </w:tcPr>
          <w:p w14:paraId="179ED393">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z w:val="24"/>
                <w:szCs w:val="24"/>
                <w:u w:val="none"/>
                <w:lang w:val="en-US" w:eastAsia="zh-CN"/>
              </w:rPr>
            </w:pPr>
            <w:r>
              <w:rPr>
                <w:rFonts w:hint="eastAsia" w:ascii="宋体" w:hAnsi="宋体" w:eastAsia="宋体" w:cs="宋体"/>
                <w:b/>
                <w:bCs/>
                <w:sz w:val="24"/>
                <w:szCs w:val="24"/>
                <w:lang w:val="en-US" w:eastAsia="zh-CN"/>
              </w:rPr>
              <w:t>最高总限价：</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highlight w:val="none"/>
                <w:u w:val="single"/>
                <w:lang w:val="en-US" w:eastAsia="zh-CN"/>
              </w:rPr>
              <w:t>900000.00</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u w:val="none"/>
                <w:lang w:val="en-US" w:eastAsia="zh-CN"/>
              </w:rPr>
              <w:t>元；</w:t>
            </w:r>
          </w:p>
          <w:p w14:paraId="686B70C4">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供应商投标报价高于最高限价的则其投标文件将按无效投标文件处理</w:t>
            </w:r>
            <w:r>
              <w:rPr>
                <w:rFonts w:hint="eastAsia" w:ascii="宋体" w:hAnsi="宋体" w:eastAsia="宋体" w:cs="宋体"/>
                <w:sz w:val="24"/>
                <w:szCs w:val="24"/>
                <w:lang w:eastAsia="zh-CN"/>
              </w:rPr>
              <w:t>。</w:t>
            </w:r>
          </w:p>
        </w:tc>
      </w:tr>
      <w:tr w14:paraId="76714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674" w:type="dxa"/>
            <w:vMerge w:val="restart"/>
            <w:tcBorders>
              <w:bottom w:val="nil"/>
            </w:tcBorders>
            <w:vAlign w:val="center"/>
          </w:tcPr>
          <w:p w14:paraId="1402D249">
            <w:pPr>
              <w:jc w:val="center"/>
              <w:rPr>
                <w:rFonts w:hint="eastAsia" w:ascii="宋体" w:hAnsi="宋体" w:eastAsia="宋体" w:cs="宋体"/>
                <w:sz w:val="24"/>
                <w:szCs w:val="24"/>
              </w:rPr>
            </w:pPr>
            <w:r>
              <w:rPr>
                <w:rFonts w:hint="eastAsia" w:ascii="宋体" w:hAnsi="宋体" w:eastAsia="宋体" w:cs="宋体"/>
                <w:sz w:val="24"/>
                <w:szCs w:val="24"/>
              </w:rPr>
              <w:t>3</w:t>
            </w:r>
          </w:p>
        </w:tc>
        <w:tc>
          <w:tcPr>
            <w:tcW w:w="1516" w:type="dxa"/>
            <w:vMerge w:val="restart"/>
            <w:tcBorders>
              <w:bottom w:val="nil"/>
            </w:tcBorders>
            <w:vAlign w:val="center"/>
          </w:tcPr>
          <w:p w14:paraId="4AF6882C">
            <w:pPr>
              <w:jc w:val="center"/>
              <w:rPr>
                <w:rFonts w:hint="eastAsia" w:ascii="宋体" w:hAnsi="宋体" w:eastAsia="宋体" w:cs="宋体"/>
                <w:sz w:val="24"/>
                <w:szCs w:val="24"/>
              </w:rPr>
            </w:pPr>
            <w:r>
              <w:rPr>
                <w:rFonts w:hint="eastAsia" w:ascii="宋体" w:hAnsi="宋体" w:eastAsia="宋体" w:cs="宋体"/>
                <w:sz w:val="24"/>
                <w:szCs w:val="24"/>
              </w:rPr>
              <w:t>项目性质</w:t>
            </w:r>
          </w:p>
        </w:tc>
        <w:tc>
          <w:tcPr>
            <w:tcW w:w="8170" w:type="dxa"/>
            <w:vAlign w:val="center"/>
          </w:tcPr>
          <w:p w14:paraId="681371B6">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val="0"/>
                <w:bCs w:val="0"/>
                <w:sz w:val="24"/>
                <w:szCs w:val="24"/>
                <w:highlight w:val="yellow"/>
              </w:rPr>
            </w:pPr>
            <w:r>
              <w:rPr>
                <w:rFonts w:hint="eastAsia" w:ascii="宋体" w:hAnsi="宋体" w:eastAsia="宋体" w:cs="宋体"/>
                <w:b w:val="0"/>
                <w:bCs w:val="0"/>
                <w:color w:val="000000"/>
                <w:kern w:val="0"/>
                <w:sz w:val="20"/>
                <w:szCs w:val="20"/>
                <w:lang w:val="zh-CN" w:eastAsia="zh-CN" w:bidi="zh-CN"/>
              </w:rPr>
              <w:sym w:font="Wingdings 2" w:char="00A3"/>
            </w:r>
            <w:r>
              <w:rPr>
                <w:rFonts w:hint="eastAsia" w:ascii="宋体" w:hAnsi="宋体" w:eastAsia="宋体" w:cs="宋体"/>
                <w:b w:val="0"/>
                <w:bCs w:val="0"/>
                <w:sz w:val="24"/>
                <w:szCs w:val="24"/>
                <w:highlight w:val="none"/>
              </w:rPr>
              <w:t>专门面向中小企业采购</w:t>
            </w:r>
          </w:p>
          <w:p w14:paraId="49C49437">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仅允许中小企业或小型、微型企业参与投标。</w:t>
            </w:r>
          </w:p>
        </w:tc>
      </w:tr>
      <w:tr w14:paraId="703E7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9" w:hRule="atLeast"/>
        </w:trPr>
        <w:tc>
          <w:tcPr>
            <w:tcW w:w="674" w:type="dxa"/>
            <w:vMerge w:val="continue"/>
            <w:tcBorders>
              <w:top w:val="nil"/>
            </w:tcBorders>
            <w:vAlign w:val="center"/>
          </w:tcPr>
          <w:p w14:paraId="5A386D3B">
            <w:pPr>
              <w:jc w:val="center"/>
              <w:rPr>
                <w:rFonts w:hint="eastAsia" w:ascii="宋体" w:hAnsi="宋体" w:eastAsia="宋体" w:cs="宋体"/>
                <w:sz w:val="24"/>
                <w:szCs w:val="24"/>
              </w:rPr>
            </w:pPr>
          </w:p>
        </w:tc>
        <w:tc>
          <w:tcPr>
            <w:tcW w:w="1516" w:type="dxa"/>
            <w:vMerge w:val="continue"/>
            <w:tcBorders>
              <w:top w:val="nil"/>
            </w:tcBorders>
            <w:vAlign w:val="center"/>
          </w:tcPr>
          <w:p w14:paraId="3ABD8F67">
            <w:pPr>
              <w:jc w:val="center"/>
              <w:rPr>
                <w:rFonts w:hint="eastAsia" w:ascii="宋体" w:hAnsi="宋体" w:eastAsia="宋体" w:cs="宋体"/>
                <w:sz w:val="24"/>
                <w:szCs w:val="24"/>
              </w:rPr>
            </w:pPr>
          </w:p>
        </w:tc>
        <w:tc>
          <w:tcPr>
            <w:tcW w:w="8170" w:type="dxa"/>
            <w:vAlign w:val="center"/>
          </w:tcPr>
          <w:p w14:paraId="79EE2251">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z w:val="24"/>
                <w:szCs w:val="24"/>
              </w:rPr>
            </w:pPr>
            <w:r>
              <w:rPr>
                <w:rFonts w:hint="eastAsia" w:ascii="宋体" w:hAnsi="宋体" w:eastAsia="宋体" w:cs="宋体"/>
                <w:b/>
                <w:bCs/>
                <w:sz w:val="24"/>
                <w:szCs w:val="24"/>
                <w:lang w:val="zh-CN" w:eastAsia="zh-CN"/>
              </w:rPr>
              <w:sym w:font="Wingdings 2" w:char="0052"/>
            </w:r>
            <w:r>
              <w:rPr>
                <w:rFonts w:hint="eastAsia" w:ascii="宋体" w:hAnsi="宋体" w:eastAsia="宋体" w:cs="宋体"/>
                <w:b/>
                <w:bCs/>
                <w:sz w:val="24"/>
                <w:szCs w:val="24"/>
              </w:rPr>
              <w:t>非专门面向中小企业采购</w:t>
            </w:r>
          </w:p>
          <w:p w14:paraId="71E91988">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对符合《政府采购促进中小企业发展管理办法》(财库〔2020〕46号)规定的小微企业(监狱企业视同小型、微型企业)的报价给予</w:t>
            </w:r>
            <w:r>
              <w:rPr>
                <w:rFonts w:hint="eastAsia" w:ascii="宋体" w:hAnsi="宋体" w:eastAsia="宋体" w:cs="宋体"/>
                <w:sz w:val="24"/>
                <w:szCs w:val="24"/>
                <w:u w:val="single"/>
              </w:rPr>
              <w:t xml:space="preserve">  </w:t>
            </w:r>
            <w:r>
              <w:rPr>
                <w:rFonts w:hint="eastAsia" w:ascii="宋体" w:hAnsi="宋体" w:eastAsia="宋体" w:cs="宋体"/>
                <w:sz w:val="24"/>
                <w:szCs w:val="24"/>
              </w:rPr>
              <w:t>%(6%-10%) 的扣除，用扣除后的价格参加评审。</w:t>
            </w:r>
          </w:p>
        </w:tc>
      </w:tr>
      <w:tr w14:paraId="2F80A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2" w:hRule="atLeast"/>
        </w:trPr>
        <w:tc>
          <w:tcPr>
            <w:tcW w:w="674" w:type="dxa"/>
            <w:vAlign w:val="center"/>
          </w:tcPr>
          <w:p w14:paraId="2ACBB359">
            <w:pPr>
              <w:jc w:val="center"/>
              <w:rPr>
                <w:rFonts w:hint="eastAsia" w:ascii="宋体" w:hAnsi="宋体" w:eastAsia="宋体" w:cs="宋体"/>
                <w:sz w:val="24"/>
                <w:szCs w:val="24"/>
              </w:rPr>
            </w:pPr>
            <w:r>
              <w:rPr>
                <w:rFonts w:hint="eastAsia" w:ascii="宋体" w:hAnsi="宋体" w:eastAsia="宋体" w:cs="宋体"/>
                <w:sz w:val="24"/>
                <w:szCs w:val="24"/>
              </w:rPr>
              <w:t>4</w:t>
            </w:r>
          </w:p>
        </w:tc>
        <w:tc>
          <w:tcPr>
            <w:tcW w:w="1516" w:type="dxa"/>
            <w:vAlign w:val="center"/>
          </w:tcPr>
          <w:p w14:paraId="22C63FE4">
            <w:pPr>
              <w:jc w:val="center"/>
              <w:rPr>
                <w:rFonts w:hint="eastAsia" w:ascii="宋体" w:hAnsi="宋体" w:eastAsia="宋体" w:cs="宋体"/>
                <w:sz w:val="24"/>
                <w:szCs w:val="24"/>
              </w:rPr>
            </w:pPr>
            <w:r>
              <w:rPr>
                <w:rFonts w:hint="eastAsia" w:ascii="宋体" w:hAnsi="宋体" w:eastAsia="宋体" w:cs="宋体"/>
                <w:sz w:val="24"/>
                <w:szCs w:val="24"/>
              </w:rPr>
              <w:t>对供应商的资格要求</w:t>
            </w:r>
          </w:p>
        </w:tc>
        <w:tc>
          <w:tcPr>
            <w:tcW w:w="8170" w:type="dxa"/>
            <w:vAlign w:val="center"/>
          </w:tcPr>
          <w:p w14:paraId="3DD289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240" w:firstLineChars="1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75E5EA8E">
            <w:pPr>
              <w:pStyle w:val="13"/>
              <w:spacing w:before="2" w:line="359" w:lineRule="auto"/>
              <w:ind w:left="10" w:right="19" w:firstLine="283"/>
              <w:rPr>
                <w:rFonts w:hint="eastAsia" w:eastAsia="宋体"/>
                <w:spacing w:val="-2"/>
                <w:lang w:eastAsia="zh-CN"/>
              </w:rPr>
            </w:pPr>
            <w:r>
              <w:rPr>
                <w:spacing w:val="-2"/>
              </w:rPr>
              <w:t>(1)根据磋商供应商类别进行提供：①如供应商是企业（包括合伙企业</w:t>
            </w:r>
            <w:r>
              <w:rPr>
                <w:spacing w:val="6"/>
              </w:rPr>
              <w:t>），</w:t>
            </w:r>
            <w:r>
              <w:rPr>
                <w:spacing w:val="-2"/>
              </w:rPr>
              <w:t>应提供在工商部门注册的有效</w:t>
            </w:r>
            <w:r>
              <w:rPr>
                <w:rFonts w:ascii="Arial" w:hAnsi="Arial" w:eastAsia="Arial" w:cs="Arial"/>
                <w:spacing w:val="-2"/>
              </w:rPr>
              <w:t>“</w:t>
            </w:r>
            <w:r>
              <w:rPr>
                <w:spacing w:val="-2"/>
              </w:rPr>
              <w:t>企业法人营业执照</w:t>
            </w:r>
            <w:r>
              <w:rPr>
                <w:rFonts w:ascii="Arial" w:hAnsi="Arial" w:eastAsia="Arial" w:cs="Arial"/>
                <w:spacing w:val="-2"/>
              </w:rPr>
              <w:t>”</w:t>
            </w:r>
            <w:r>
              <w:rPr>
                <w:spacing w:val="-2"/>
              </w:rPr>
              <w:t>或</w:t>
            </w:r>
            <w:r>
              <w:rPr>
                <w:rFonts w:ascii="Arial" w:hAnsi="Arial" w:eastAsia="Arial" w:cs="Arial"/>
                <w:spacing w:val="-2"/>
              </w:rPr>
              <w:t>“</w:t>
            </w:r>
            <w:r>
              <w:rPr>
                <w:rFonts w:ascii="Arial" w:hAnsi="Arial" w:eastAsia="Arial" w:cs="Arial"/>
                <w:spacing w:val="-33"/>
              </w:rPr>
              <w:t xml:space="preserve"> </w:t>
            </w:r>
            <w:r>
              <w:rPr>
                <w:spacing w:val="-2"/>
              </w:rPr>
              <w:t>营业执照</w:t>
            </w:r>
            <w:r>
              <w:rPr>
                <w:rFonts w:ascii="Arial" w:hAnsi="Arial" w:eastAsia="Arial" w:cs="Arial"/>
                <w:spacing w:val="-2"/>
              </w:rPr>
              <w:t>”</w:t>
            </w:r>
            <w:r>
              <w:rPr>
                <w:rFonts w:ascii="Arial" w:hAnsi="Arial" w:eastAsia="Arial" w:cs="Arial"/>
                <w:spacing w:val="-35"/>
              </w:rPr>
              <w:t xml:space="preserve"> </w:t>
            </w:r>
            <w:r>
              <w:rPr>
                <w:spacing w:val="-2"/>
              </w:rPr>
              <w:t>；②如供应商是事业</w:t>
            </w:r>
            <w:r>
              <w:rPr>
                <w:spacing w:val="-1"/>
              </w:rPr>
              <w:t>单位，应提供有效的</w:t>
            </w:r>
            <w:r>
              <w:rPr>
                <w:rFonts w:ascii="Arial" w:hAnsi="Arial" w:eastAsia="Arial" w:cs="Arial"/>
                <w:spacing w:val="-1"/>
              </w:rPr>
              <w:t>“</w:t>
            </w:r>
            <w:r>
              <w:rPr>
                <w:spacing w:val="-1"/>
              </w:rPr>
              <w:t>事业单位法人证书</w:t>
            </w:r>
            <w:r>
              <w:rPr>
                <w:rFonts w:ascii="Arial" w:hAnsi="Arial" w:eastAsia="Arial" w:cs="Arial"/>
                <w:spacing w:val="-1"/>
              </w:rPr>
              <w:t>”</w:t>
            </w:r>
            <w:r>
              <w:rPr>
                <w:rFonts w:ascii="Arial" w:hAnsi="Arial" w:eastAsia="Arial" w:cs="Arial"/>
                <w:spacing w:val="-37"/>
              </w:rPr>
              <w:t xml:space="preserve"> </w:t>
            </w:r>
            <w:r>
              <w:rPr>
                <w:spacing w:val="-1"/>
              </w:rPr>
              <w:t>；③如供应商是为企业专业</w:t>
            </w:r>
            <w:r>
              <w:rPr>
                <w:spacing w:val="-2"/>
              </w:rPr>
              <w:t>服务机构的</w:t>
            </w:r>
            <w:r>
              <w:t xml:space="preserve">  </w:t>
            </w:r>
            <w:r>
              <w:rPr>
                <w:spacing w:val="-2"/>
              </w:rPr>
              <w:t>,</w:t>
            </w:r>
            <w:r>
              <w:rPr>
                <w:spacing w:val="63"/>
              </w:rPr>
              <w:t xml:space="preserve"> </w:t>
            </w:r>
            <w:r>
              <w:rPr>
                <w:spacing w:val="-2"/>
              </w:rPr>
              <w:t>应提供执业许可证等证明文件；④如供应商是个体工商户，应提供有效的</w:t>
            </w:r>
            <w:r>
              <w:rPr>
                <w:rFonts w:ascii="Arial" w:hAnsi="Arial" w:eastAsia="Arial" w:cs="Arial"/>
                <w:spacing w:val="-2"/>
              </w:rPr>
              <w:t>“</w:t>
            </w:r>
            <w:r>
              <w:rPr>
                <w:spacing w:val="-3"/>
              </w:rPr>
              <w:t>个体</w:t>
            </w:r>
            <w:r>
              <w:rPr>
                <w:spacing w:val="-2"/>
              </w:rPr>
              <w:t>工商户营业执照</w:t>
            </w:r>
            <w:r>
              <w:rPr>
                <w:rFonts w:ascii="Arial" w:hAnsi="Arial" w:eastAsia="Arial" w:cs="Arial"/>
                <w:spacing w:val="-2"/>
              </w:rPr>
              <w:t>”</w:t>
            </w:r>
            <w:r>
              <w:rPr>
                <w:rFonts w:ascii="Arial" w:hAnsi="Arial" w:eastAsia="Arial" w:cs="Arial"/>
                <w:spacing w:val="-37"/>
              </w:rPr>
              <w:t xml:space="preserve"> </w:t>
            </w:r>
            <w:r>
              <w:rPr>
                <w:spacing w:val="-2"/>
              </w:rPr>
              <w:t>；⑤如供应商为自然人，</w:t>
            </w:r>
            <w:r>
              <w:rPr>
                <w:spacing w:val="-3"/>
              </w:rPr>
              <w:t>应提供有效的自然人身份证明；</w:t>
            </w:r>
            <w:r>
              <w:rPr>
                <w:spacing w:val="-68"/>
              </w:rPr>
              <w:t xml:space="preserve"> </w:t>
            </w:r>
            <w:r>
              <w:rPr>
                <w:spacing w:val="-3"/>
              </w:rPr>
              <w:t>(2)提</w:t>
            </w:r>
            <w:r>
              <w:rPr>
                <w:spacing w:val="-2"/>
              </w:rPr>
              <w:t>供202</w:t>
            </w:r>
            <w:r>
              <w:rPr>
                <w:rFonts w:hint="eastAsia"/>
                <w:spacing w:val="-2"/>
                <w:lang w:val="en-US" w:eastAsia="zh-CN"/>
              </w:rPr>
              <w:t>5</w:t>
            </w:r>
            <w:r>
              <w:rPr>
                <w:spacing w:val="-2"/>
              </w:rPr>
              <w:t>年度经审计的财务报告（包括</w:t>
            </w:r>
            <w:r>
              <w:rPr>
                <w:rFonts w:ascii="Arial" w:hAnsi="Arial" w:eastAsia="Arial" w:cs="Arial"/>
                <w:spacing w:val="-2"/>
              </w:rPr>
              <w:t>“</w:t>
            </w:r>
            <w:r>
              <w:rPr>
                <w:rFonts w:ascii="Arial" w:hAnsi="Arial" w:eastAsia="Arial" w:cs="Arial"/>
                <w:spacing w:val="-36"/>
              </w:rPr>
              <w:t xml:space="preserve"> </w:t>
            </w:r>
            <w:r>
              <w:rPr>
                <w:spacing w:val="-2"/>
              </w:rPr>
              <w:t>四表一</w:t>
            </w:r>
            <w:r>
              <w:rPr>
                <w:spacing w:val="-3"/>
              </w:rPr>
              <w:t>注</w:t>
            </w:r>
            <w:r>
              <w:rPr>
                <w:rFonts w:ascii="Arial" w:hAnsi="Arial" w:eastAsia="Arial" w:cs="Arial"/>
                <w:spacing w:val="-3"/>
              </w:rPr>
              <w:t>”</w:t>
            </w:r>
            <w:r>
              <w:rPr>
                <w:rFonts w:ascii="Arial" w:hAnsi="Arial" w:eastAsia="Arial" w:cs="Arial"/>
                <w:spacing w:val="-40"/>
              </w:rPr>
              <w:t xml:space="preserve"> </w:t>
            </w:r>
            <w:r>
              <w:rPr>
                <w:spacing w:val="-3"/>
              </w:rPr>
              <w:t>即《资产负债表》《利润表》《</w:t>
            </w:r>
            <w:r>
              <w:t>现金流量表》《所有者权益变动表》及其附注；成立时</w:t>
            </w:r>
            <w:r>
              <w:rPr>
                <w:spacing w:val="-1"/>
              </w:rPr>
              <w:t>间至提交磋商文件截止时间不足一年的可提供成立后任意时段的资产负债表</w:t>
            </w:r>
            <w:r>
              <w:rPr>
                <w:spacing w:val="11"/>
              </w:rPr>
              <w:t>），</w:t>
            </w:r>
            <w:r>
              <w:rPr>
                <w:spacing w:val="-1"/>
              </w:rPr>
              <w:t>或磋商截止时间前6个</w:t>
            </w:r>
            <w:r>
              <w:rPr>
                <w:spacing w:val="-2"/>
              </w:rPr>
              <w:t>月内银行出具的资信证明；</w:t>
            </w:r>
            <w:r>
              <w:rPr>
                <w:spacing w:val="-58"/>
              </w:rPr>
              <w:t xml:space="preserve"> </w:t>
            </w:r>
            <w:r>
              <w:rPr>
                <w:spacing w:val="-2"/>
              </w:rPr>
              <w:t>(3)提供磋商文件递交截止日前</w:t>
            </w:r>
            <w:r>
              <w:rPr>
                <w:rFonts w:hint="eastAsia"/>
                <w:spacing w:val="-2"/>
                <w:lang w:val="en-US" w:eastAsia="zh-CN"/>
              </w:rPr>
              <w:t>6个月</w:t>
            </w:r>
            <w:r>
              <w:rPr>
                <w:spacing w:val="-2"/>
              </w:rPr>
              <w:t>内已缴纳的至少一个月的纳税证明或完税证明，依法免税的单位应提供相关证明材料；</w:t>
            </w:r>
            <w:r>
              <w:rPr>
                <w:spacing w:val="-58"/>
              </w:rPr>
              <w:t xml:space="preserve"> </w:t>
            </w:r>
            <w:r>
              <w:rPr>
                <w:spacing w:val="-2"/>
              </w:rPr>
              <w:t>(4)提供</w:t>
            </w:r>
            <w:r>
              <w:t>磋商文件递交截止日前</w:t>
            </w:r>
            <w:r>
              <w:rPr>
                <w:rFonts w:hint="eastAsia"/>
                <w:lang w:val="en-US" w:eastAsia="zh-CN"/>
              </w:rPr>
              <w:t>6个月</w:t>
            </w:r>
            <w:r>
              <w:t>内已缴存的至少一个月的社会</w:t>
            </w:r>
            <w:r>
              <w:rPr>
                <w:spacing w:val="-1"/>
              </w:rPr>
              <w:t>保障资金缴存单据或社</w:t>
            </w:r>
            <w:r>
              <w:t>保机构开具的社会保险参保缴费情况证明，依法不需要缴</w:t>
            </w:r>
            <w:r>
              <w:rPr>
                <w:spacing w:val="-1"/>
              </w:rPr>
              <w:t>纳社会保障资金的单位</w:t>
            </w:r>
            <w:r>
              <w:rPr>
                <w:spacing w:val="-2"/>
              </w:rPr>
              <w:t>应提供相关证明材料；</w:t>
            </w:r>
            <w:r>
              <w:rPr>
                <w:spacing w:val="-58"/>
              </w:rPr>
              <w:t xml:space="preserve"> </w:t>
            </w:r>
            <w:r>
              <w:rPr>
                <w:spacing w:val="-2"/>
              </w:rPr>
              <w:t>(5)提供具有履行合同所必需的设备和专业技术能力的承诺；</w:t>
            </w:r>
            <w:r>
              <w:rPr>
                <w:spacing w:val="-56"/>
              </w:rPr>
              <w:t xml:space="preserve"> </w:t>
            </w:r>
            <w:r>
              <w:rPr>
                <w:spacing w:val="-2"/>
              </w:rPr>
              <w:t>(6)参加政府采购活动前3年内，在经营活动中没有重大违法记录的书面声明</w:t>
            </w:r>
            <w:r>
              <w:rPr>
                <w:rFonts w:hint="eastAsia"/>
                <w:spacing w:val="-2"/>
                <w:lang w:eastAsia="zh-CN"/>
              </w:rPr>
              <w:t>。</w:t>
            </w:r>
          </w:p>
          <w:p w14:paraId="5B836608">
            <w:pPr>
              <w:pStyle w:val="13"/>
              <w:spacing w:before="2" w:line="359" w:lineRule="auto"/>
              <w:ind w:left="10" w:right="19" w:firstLine="283"/>
            </w:pPr>
            <w:r>
              <w:rPr>
                <w:spacing w:val="-1"/>
              </w:rPr>
              <w:t>2.特定资格条件：</w:t>
            </w:r>
          </w:p>
          <w:p w14:paraId="56BECF7B">
            <w:pPr>
              <w:pStyle w:val="13"/>
              <w:spacing w:before="2" w:line="359" w:lineRule="auto"/>
              <w:ind w:left="10" w:right="60" w:firstLine="252"/>
              <w:rPr>
                <w:rFonts w:hint="eastAsia" w:ascii="宋体" w:hAnsi="宋体" w:eastAsia="宋体" w:cs="宋体"/>
                <w:sz w:val="24"/>
                <w:szCs w:val="24"/>
              </w:rPr>
            </w:pPr>
            <w:r>
              <w:rPr>
                <w:spacing w:val="-1"/>
              </w:rPr>
              <w:t>（1）法定代表人授权书（法定代表人直接参加磋商，须提供法定代表人身份</w:t>
            </w:r>
            <w:r>
              <w:t>证明</w:t>
            </w:r>
            <w:r>
              <w:rPr>
                <w:spacing w:val="-12"/>
              </w:rPr>
              <w:t>）；（</w:t>
            </w:r>
            <w:r>
              <w:t>2）供应商不得为</w:t>
            </w:r>
            <w:r>
              <w:rPr>
                <w:rFonts w:ascii="Arial" w:hAnsi="Arial" w:eastAsia="Arial" w:cs="Arial"/>
              </w:rPr>
              <w:t>“</w:t>
            </w:r>
            <w:r>
              <w:t xml:space="preserve">信用中国 </w:t>
            </w:r>
            <w:r>
              <w:rPr>
                <w:rFonts w:ascii="Arial" w:hAnsi="Arial" w:eastAsia="Arial" w:cs="Arial"/>
              </w:rPr>
              <w:t>”</w:t>
            </w:r>
            <w:r>
              <w:t>网站（</w:t>
            </w:r>
            <w:r>
              <w:fldChar w:fldCharType="begin"/>
            </w:r>
            <w:r>
              <w:instrText xml:space="preserve"> HYPERLINK "https://www.creditchina.gov.cn" </w:instrText>
            </w:r>
            <w:r>
              <w:fldChar w:fldCharType="separate"/>
            </w:r>
            <w:r>
              <w:t>www.creditchina.g</w:t>
            </w:r>
            <w:r>
              <w:rPr>
                <w:spacing w:val="-1"/>
              </w:rPr>
              <w:t>ov.cn</w:t>
            </w:r>
            <w:r>
              <w:rPr>
                <w:spacing w:val="-1"/>
              </w:rPr>
              <w:fldChar w:fldCharType="end"/>
            </w:r>
            <w:r>
              <w:rPr>
                <w:spacing w:val="-1"/>
              </w:rPr>
              <w:t>）</w:t>
            </w:r>
            <w:r>
              <w:rPr>
                <w:spacing w:val="33"/>
              </w:rPr>
              <w:t xml:space="preserve"> </w:t>
            </w:r>
            <w:r>
              <w:rPr>
                <w:spacing w:val="-1"/>
              </w:rPr>
              <w:t>中列</w:t>
            </w:r>
            <w:r>
              <w:t>入失信被执行人和重大税收违法案件当事人名单的磋商供</w:t>
            </w:r>
            <w:r>
              <w:rPr>
                <w:spacing w:val="-1"/>
              </w:rPr>
              <w:t>应商，不得为中国政府</w:t>
            </w:r>
            <w:r>
              <w:t>采购网（</w:t>
            </w:r>
            <w:r>
              <w:fldChar w:fldCharType="begin"/>
            </w:r>
            <w:r>
              <w:instrText xml:space="preserve"> HYPERLINK "https://www.ccgp.gov.cn" </w:instrText>
            </w:r>
            <w:r>
              <w:fldChar w:fldCharType="separate"/>
            </w:r>
            <w:r>
              <w:t>www.ccgp.gov.cn</w:t>
            </w:r>
            <w:r>
              <w:fldChar w:fldCharType="end"/>
            </w:r>
            <w:r>
              <w:t>）政府采购严重违法失信行为</w:t>
            </w:r>
            <w:r>
              <w:rPr>
                <w:spacing w:val="-1"/>
              </w:rPr>
              <w:t>记录名单中被财政部门</w:t>
            </w:r>
            <w:r>
              <w:rPr>
                <w:spacing w:val="1"/>
              </w:rPr>
              <w:t>禁止参加政府采购活动的磋商供应商</w:t>
            </w:r>
            <w:r>
              <w:rPr>
                <w:spacing w:val="-18"/>
              </w:rPr>
              <w:t>；（</w:t>
            </w:r>
            <w:r>
              <w:rPr>
                <w:spacing w:val="1"/>
              </w:rPr>
              <w:t>3）</w:t>
            </w:r>
            <w:r>
              <w:rPr>
                <w:rFonts w:ascii="宋体" w:hAnsi="宋体" w:eastAsia="宋体" w:cs="宋体"/>
              </w:rPr>
              <w:t>供应商应具备工程设计综合甲级资质或工程设计建筑行业乙级及以上资质或工程设计建筑行业（建筑工程）专业乙级及以上资质；</w:t>
            </w:r>
            <w:r>
              <w:rPr>
                <w:rFonts w:hint="eastAsia"/>
                <w:spacing w:val="1"/>
                <w:lang w:eastAsia="zh-CN"/>
              </w:rPr>
              <w:t>（</w:t>
            </w:r>
            <w:r>
              <w:rPr>
                <w:rFonts w:hint="eastAsia"/>
                <w:spacing w:val="1"/>
                <w:lang w:val="en-US" w:eastAsia="zh-CN"/>
              </w:rPr>
              <w:t>4</w:t>
            </w:r>
            <w:r>
              <w:rPr>
                <w:rFonts w:hint="eastAsia"/>
                <w:spacing w:val="1"/>
                <w:lang w:eastAsia="zh-CN"/>
              </w:rPr>
              <w:t>）</w:t>
            </w:r>
            <w:r>
              <w:rPr>
                <w:spacing w:val="1"/>
              </w:rPr>
              <w:t>本项目不接受联</w:t>
            </w:r>
            <w:r>
              <w:t>合体磋商，单位负责人为同一人或者存在直接控股、管理关系的不同供应商</w:t>
            </w:r>
            <w:r>
              <w:rPr>
                <w:spacing w:val="-1"/>
              </w:rPr>
              <w:t>，不得参加同一合同项</w:t>
            </w:r>
            <w:r>
              <w:rPr>
                <w:spacing w:val="1"/>
              </w:rPr>
              <w:t>下的政府采购活动</w:t>
            </w:r>
            <w:r>
              <w:rPr>
                <w:spacing w:val="-18"/>
              </w:rPr>
              <w:t>；</w:t>
            </w:r>
          </w:p>
        </w:tc>
      </w:tr>
      <w:tr w14:paraId="5A2FB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3" w:hRule="atLeast"/>
        </w:trPr>
        <w:tc>
          <w:tcPr>
            <w:tcW w:w="674" w:type="dxa"/>
            <w:vMerge w:val="restart"/>
            <w:tcBorders>
              <w:bottom w:val="nil"/>
            </w:tcBorders>
            <w:vAlign w:val="center"/>
          </w:tcPr>
          <w:p w14:paraId="7CD1D9B0">
            <w:pPr>
              <w:jc w:val="center"/>
              <w:rPr>
                <w:rFonts w:hint="eastAsia" w:ascii="宋体" w:hAnsi="宋体" w:eastAsia="宋体" w:cs="宋体"/>
                <w:sz w:val="24"/>
                <w:szCs w:val="24"/>
              </w:rPr>
            </w:pPr>
          </w:p>
          <w:p w14:paraId="7ED71F13">
            <w:pPr>
              <w:jc w:val="center"/>
              <w:rPr>
                <w:rFonts w:hint="eastAsia" w:ascii="宋体" w:hAnsi="宋体" w:eastAsia="宋体" w:cs="宋体"/>
                <w:sz w:val="24"/>
                <w:szCs w:val="24"/>
              </w:rPr>
            </w:pPr>
          </w:p>
          <w:p w14:paraId="78072292">
            <w:pPr>
              <w:jc w:val="center"/>
              <w:rPr>
                <w:rFonts w:hint="eastAsia" w:ascii="宋体" w:hAnsi="宋体" w:eastAsia="宋体" w:cs="宋体"/>
                <w:sz w:val="24"/>
                <w:szCs w:val="24"/>
              </w:rPr>
            </w:pPr>
          </w:p>
          <w:p w14:paraId="5DB0A48D">
            <w:pPr>
              <w:jc w:val="center"/>
              <w:rPr>
                <w:rFonts w:hint="eastAsia" w:ascii="宋体" w:hAnsi="宋体" w:eastAsia="宋体" w:cs="宋体"/>
                <w:sz w:val="24"/>
                <w:szCs w:val="24"/>
              </w:rPr>
            </w:pPr>
            <w:r>
              <w:rPr>
                <w:rFonts w:hint="eastAsia" w:ascii="宋体" w:hAnsi="宋体" w:eastAsia="宋体" w:cs="宋体"/>
                <w:sz w:val="24"/>
                <w:szCs w:val="24"/>
              </w:rPr>
              <w:t>5</w:t>
            </w:r>
          </w:p>
        </w:tc>
        <w:tc>
          <w:tcPr>
            <w:tcW w:w="1516" w:type="dxa"/>
            <w:vMerge w:val="restart"/>
            <w:tcBorders>
              <w:bottom w:val="nil"/>
            </w:tcBorders>
            <w:vAlign w:val="center"/>
          </w:tcPr>
          <w:p w14:paraId="019EA851">
            <w:pPr>
              <w:jc w:val="both"/>
              <w:rPr>
                <w:rFonts w:hint="eastAsia" w:ascii="宋体" w:hAnsi="宋体" w:eastAsia="宋体" w:cs="宋体"/>
                <w:sz w:val="24"/>
                <w:szCs w:val="24"/>
              </w:rPr>
            </w:pPr>
          </w:p>
          <w:p w14:paraId="5C5BBC15">
            <w:pPr>
              <w:jc w:val="center"/>
              <w:rPr>
                <w:rFonts w:hint="eastAsia" w:ascii="宋体" w:hAnsi="宋体" w:eastAsia="宋体" w:cs="宋体"/>
                <w:sz w:val="24"/>
                <w:szCs w:val="24"/>
              </w:rPr>
            </w:pPr>
          </w:p>
          <w:p w14:paraId="41CC81C8">
            <w:pPr>
              <w:jc w:val="center"/>
              <w:rPr>
                <w:rFonts w:hint="eastAsia" w:ascii="宋体" w:hAnsi="宋体" w:eastAsia="宋体" w:cs="宋体"/>
                <w:sz w:val="24"/>
                <w:szCs w:val="24"/>
              </w:rPr>
            </w:pPr>
            <w:r>
              <w:rPr>
                <w:rFonts w:hint="eastAsia" w:ascii="宋体" w:hAnsi="宋体" w:eastAsia="宋体" w:cs="宋体"/>
                <w:sz w:val="24"/>
                <w:szCs w:val="24"/>
              </w:rPr>
              <w:t>是否接受联合体投标</w:t>
            </w:r>
          </w:p>
        </w:tc>
        <w:tc>
          <w:tcPr>
            <w:tcW w:w="8170" w:type="dxa"/>
            <w:vAlign w:val="center"/>
          </w:tcPr>
          <w:p w14:paraId="53551FB2">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z w:val="24"/>
                <w:szCs w:val="24"/>
              </w:rPr>
            </w:pPr>
            <w:r>
              <w:rPr>
                <w:rFonts w:hint="eastAsia" w:ascii="宋体" w:hAnsi="宋体" w:eastAsia="宋体" w:cs="宋体"/>
                <w:b/>
                <w:bCs/>
                <w:color w:val="000000"/>
                <w:kern w:val="0"/>
                <w:sz w:val="20"/>
                <w:szCs w:val="20"/>
                <w:lang w:val="zh-CN" w:eastAsia="zh-CN" w:bidi="zh-CN"/>
              </w:rPr>
              <w:sym w:font="Wingdings 2" w:char="00A3"/>
            </w:r>
            <w:r>
              <w:rPr>
                <w:rFonts w:hint="eastAsia" w:ascii="宋体" w:hAnsi="宋体" w:eastAsia="宋体" w:cs="宋体"/>
                <w:b/>
                <w:bCs/>
                <w:sz w:val="24"/>
                <w:szCs w:val="24"/>
              </w:rPr>
              <w:t>接受</w:t>
            </w:r>
          </w:p>
          <w:p w14:paraId="37499287">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对于联合体协议或者分包意向协议约定小微企业的合同份额占到合同总金额30%以上的，对联合体或者大中型企业的报价给予</w:t>
            </w:r>
            <w:r>
              <w:rPr>
                <w:rFonts w:hint="eastAsia" w:ascii="宋体" w:hAnsi="宋体" w:eastAsia="宋体" w:cs="宋体"/>
                <w:sz w:val="24"/>
                <w:szCs w:val="24"/>
                <w:u w:val="single"/>
              </w:rPr>
              <w:t xml:space="preserve">  </w:t>
            </w:r>
            <w:r>
              <w:rPr>
                <w:rFonts w:hint="eastAsia" w:ascii="宋体" w:hAnsi="宋体" w:eastAsia="宋体" w:cs="宋体"/>
                <w:sz w:val="24"/>
                <w:szCs w:val="24"/>
              </w:rPr>
              <w:t>%(2%3%)的扣除，用扣除后的报价参加评审。</w:t>
            </w:r>
          </w:p>
        </w:tc>
      </w:tr>
      <w:tr w14:paraId="6A75B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674" w:type="dxa"/>
            <w:vMerge w:val="continue"/>
            <w:tcBorders>
              <w:top w:val="nil"/>
            </w:tcBorders>
            <w:vAlign w:val="center"/>
          </w:tcPr>
          <w:p w14:paraId="5310FC4E">
            <w:pPr>
              <w:jc w:val="center"/>
              <w:rPr>
                <w:rFonts w:hint="eastAsia" w:ascii="宋体" w:hAnsi="宋体" w:eastAsia="宋体" w:cs="宋体"/>
                <w:sz w:val="24"/>
                <w:szCs w:val="24"/>
              </w:rPr>
            </w:pPr>
          </w:p>
        </w:tc>
        <w:tc>
          <w:tcPr>
            <w:tcW w:w="1516" w:type="dxa"/>
            <w:vMerge w:val="continue"/>
            <w:tcBorders>
              <w:top w:val="nil"/>
            </w:tcBorders>
            <w:vAlign w:val="center"/>
          </w:tcPr>
          <w:p w14:paraId="36C92C29">
            <w:pPr>
              <w:jc w:val="center"/>
              <w:rPr>
                <w:rFonts w:hint="eastAsia" w:ascii="宋体" w:hAnsi="宋体" w:eastAsia="宋体" w:cs="宋体"/>
                <w:sz w:val="24"/>
                <w:szCs w:val="24"/>
              </w:rPr>
            </w:pPr>
          </w:p>
        </w:tc>
        <w:tc>
          <w:tcPr>
            <w:tcW w:w="8170" w:type="dxa"/>
            <w:vAlign w:val="center"/>
          </w:tcPr>
          <w:p w14:paraId="0B47986B">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b/>
                <w:bCs/>
                <w:sz w:val="24"/>
                <w:szCs w:val="24"/>
                <w:lang w:val="zh-CN" w:eastAsia="zh-CN"/>
              </w:rPr>
              <w:sym w:font="Wingdings 2" w:char="0052"/>
            </w:r>
            <w:r>
              <w:rPr>
                <w:rFonts w:hint="eastAsia" w:ascii="宋体" w:hAnsi="宋体" w:eastAsia="宋体" w:cs="宋体"/>
                <w:b/>
                <w:bCs/>
                <w:sz w:val="24"/>
                <w:szCs w:val="24"/>
              </w:rPr>
              <w:t>不接受</w:t>
            </w:r>
          </w:p>
        </w:tc>
      </w:tr>
      <w:tr w14:paraId="745D3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0" w:hRule="atLeast"/>
        </w:trPr>
        <w:tc>
          <w:tcPr>
            <w:tcW w:w="674" w:type="dxa"/>
            <w:vMerge w:val="restart"/>
            <w:tcBorders>
              <w:bottom w:val="nil"/>
            </w:tcBorders>
            <w:vAlign w:val="center"/>
          </w:tcPr>
          <w:p w14:paraId="52AA3B4F">
            <w:pPr>
              <w:jc w:val="center"/>
              <w:rPr>
                <w:rFonts w:hint="eastAsia" w:ascii="宋体" w:hAnsi="宋体" w:eastAsia="宋体" w:cs="宋体"/>
                <w:sz w:val="24"/>
                <w:szCs w:val="24"/>
              </w:rPr>
            </w:pPr>
            <w:r>
              <w:rPr>
                <w:rFonts w:hint="eastAsia" w:ascii="宋体" w:hAnsi="宋体" w:eastAsia="宋体" w:cs="宋体"/>
                <w:sz w:val="24"/>
                <w:szCs w:val="24"/>
              </w:rPr>
              <w:t>6</w:t>
            </w:r>
          </w:p>
        </w:tc>
        <w:tc>
          <w:tcPr>
            <w:tcW w:w="1516" w:type="dxa"/>
            <w:vMerge w:val="restart"/>
            <w:tcBorders>
              <w:bottom w:val="nil"/>
            </w:tcBorders>
            <w:vAlign w:val="center"/>
          </w:tcPr>
          <w:p w14:paraId="1427CEED">
            <w:pPr>
              <w:jc w:val="center"/>
              <w:rPr>
                <w:rFonts w:hint="eastAsia" w:ascii="宋体" w:hAnsi="宋体" w:eastAsia="宋体" w:cs="宋体"/>
                <w:sz w:val="24"/>
                <w:szCs w:val="24"/>
              </w:rPr>
            </w:pPr>
            <w:r>
              <w:rPr>
                <w:rFonts w:hint="eastAsia" w:ascii="宋体" w:hAnsi="宋体" w:eastAsia="宋体" w:cs="宋体"/>
                <w:sz w:val="24"/>
                <w:szCs w:val="24"/>
              </w:rPr>
              <w:t>履约保证金</w:t>
            </w:r>
          </w:p>
        </w:tc>
        <w:tc>
          <w:tcPr>
            <w:tcW w:w="8170" w:type="dxa"/>
            <w:vAlign w:val="center"/>
          </w:tcPr>
          <w:p w14:paraId="6DD3F227">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占政府采购合同金额的</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val="en-US" w:eastAsia="zh-CN"/>
              </w:rPr>
              <w:t>/</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w:t>
            </w:r>
          </w:p>
          <w:p w14:paraId="0A11D2C8">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限约保证金的数额不得超过政府采购合同金额的10%:对于单价合同，其数额不得超过采购预算的10%</w:t>
            </w:r>
            <w:r>
              <w:rPr>
                <w:rFonts w:hint="eastAsia" w:ascii="宋体" w:hAnsi="宋体" w:eastAsia="宋体" w:cs="宋体"/>
                <w:sz w:val="24"/>
                <w:szCs w:val="24"/>
                <w:lang w:eastAsia="zh-CN"/>
              </w:rPr>
              <w:t>。</w:t>
            </w:r>
          </w:p>
          <w:p w14:paraId="4525D5FC">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lang w:val="en-US"/>
              </w:rPr>
            </w:pPr>
            <w:r>
              <w:rPr>
                <w:rFonts w:hint="eastAsia" w:ascii="宋体" w:hAnsi="宋体" w:eastAsia="宋体" w:cs="宋体"/>
                <w:b/>
                <w:bCs/>
                <w:sz w:val="24"/>
                <w:szCs w:val="24"/>
                <w:lang w:val="zh-CN" w:eastAsia="zh-CN"/>
              </w:rPr>
              <w:sym w:font="Wingdings 2" w:char="0052"/>
            </w:r>
            <w:r>
              <w:rPr>
                <w:rFonts w:hint="eastAsia" w:ascii="宋体" w:hAnsi="宋体" w:eastAsia="宋体" w:cs="宋体"/>
                <w:b/>
                <w:bCs/>
                <w:sz w:val="24"/>
                <w:szCs w:val="24"/>
                <w:lang w:val="en-US" w:eastAsia="zh-CN"/>
              </w:rPr>
              <w:t>不收取</w:t>
            </w:r>
          </w:p>
        </w:tc>
      </w:tr>
      <w:tr w14:paraId="627A3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trPr>
        <w:tc>
          <w:tcPr>
            <w:tcW w:w="674" w:type="dxa"/>
            <w:vMerge w:val="continue"/>
            <w:tcBorders>
              <w:top w:val="nil"/>
            </w:tcBorders>
            <w:vAlign w:val="center"/>
          </w:tcPr>
          <w:p w14:paraId="382B37D3">
            <w:pPr>
              <w:jc w:val="center"/>
              <w:rPr>
                <w:rFonts w:hint="eastAsia" w:ascii="宋体" w:hAnsi="宋体" w:eastAsia="宋体" w:cs="宋体"/>
                <w:sz w:val="24"/>
                <w:szCs w:val="24"/>
              </w:rPr>
            </w:pPr>
          </w:p>
        </w:tc>
        <w:tc>
          <w:tcPr>
            <w:tcW w:w="1516" w:type="dxa"/>
            <w:vMerge w:val="continue"/>
            <w:tcBorders>
              <w:top w:val="nil"/>
            </w:tcBorders>
            <w:vAlign w:val="center"/>
          </w:tcPr>
          <w:p w14:paraId="3A96C5DD">
            <w:pPr>
              <w:jc w:val="center"/>
              <w:rPr>
                <w:rFonts w:hint="eastAsia" w:ascii="宋体" w:hAnsi="宋体" w:eastAsia="宋体" w:cs="宋体"/>
                <w:sz w:val="24"/>
                <w:szCs w:val="24"/>
              </w:rPr>
            </w:pPr>
          </w:p>
        </w:tc>
        <w:tc>
          <w:tcPr>
            <w:tcW w:w="8170" w:type="dxa"/>
            <w:vAlign w:val="center"/>
          </w:tcPr>
          <w:p w14:paraId="621F89EE">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○由采购单位自行收退</w:t>
            </w:r>
          </w:p>
          <w:p w14:paraId="08C75463">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b/>
                <w:bCs/>
                <w:sz w:val="24"/>
                <w:szCs w:val="24"/>
              </w:rPr>
              <w:t>○由代理机构负责收退</w:t>
            </w:r>
          </w:p>
        </w:tc>
      </w:tr>
      <w:tr w14:paraId="75FA2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674" w:type="dxa"/>
            <w:vAlign w:val="center"/>
          </w:tcPr>
          <w:p w14:paraId="7317E06F">
            <w:pPr>
              <w:jc w:val="center"/>
              <w:rPr>
                <w:rFonts w:hint="eastAsia" w:ascii="宋体" w:hAnsi="宋体" w:eastAsia="宋体" w:cs="宋体"/>
                <w:sz w:val="24"/>
                <w:szCs w:val="24"/>
              </w:rPr>
            </w:pPr>
            <w:r>
              <w:rPr>
                <w:rFonts w:hint="eastAsia" w:ascii="宋体" w:hAnsi="宋体" w:eastAsia="宋体" w:cs="宋体"/>
                <w:sz w:val="24"/>
                <w:szCs w:val="24"/>
              </w:rPr>
              <w:t>7</w:t>
            </w:r>
          </w:p>
        </w:tc>
        <w:tc>
          <w:tcPr>
            <w:tcW w:w="1516" w:type="dxa"/>
            <w:vAlign w:val="center"/>
          </w:tcPr>
          <w:p w14:paraId="6A19DF95">
            <w:pPr>
              <w:jc w:val="center"/>
              <w:rPr>
                <w:rFonts w:hint="eastAsia" w:ascii="宋体" w:hAnsi="宋体" w:eastAsia="宋体" w:cs="宋体"/>
                <w:sz w:val="24"/>
                <w:szCs w:val="24"/>
              </w:rPr>
            </w:pPr>
            <w:r>
              <w:rPr>
                <w:rFonts w:hint="eastAsia" w:ascii="宋体" w:hAnsi="宋体" w:eastAsia="宋体" w:cs="宋体"/>
                <w:sz w:val="24"/>
                <w:szCs w:val="24"/>
              </w:rPr>
              <w:t>集中答疑</w:t>
            </w:r>
          </w:p>
        </w:tc>
        <w:tc>
          <w:tcPr>
            <w:tcW w:w="8170" w:type="dxa"/>
            <w:vAlign w:val="center"/>
          </w:tcPr>
          <w:p w14:paraId="0AA119E9">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u w:val="single"/>
                <w:lang w:val="en-US" w:eastAsia="zh-CN"/>
              </w:rPr>
            </w:pPr>
            <w:r>
              <w:rPr>
                <w:rFonts w:hint="eastAsia" w:ascii="宋体" w:hAnsi="宋体" w:eastAsia="宋体" w:cs="宋体"/>
                <w:sz w:val="24"/>
                <w:szCs w:val="24"/>
                <w:lang w:val="zh-CN" w:eastAsia="zh-CN"/>
              </w:rPr>
              <w:sym w:font="Wingdings 2" w:char="00A3"/>
            </w:r>
            <w:r>
              <w:rPr>
                <w:rFonts w:hint="eastAsia" w:ascii="宋体" w:hAnsi="宋体" w:eastAsia="宋体" w:cs="宋体"/>
                <w:sz w:val="24"/>
                <w:szCs w:val="24"/>
              </w:rPr>
              <w:t>组织，答疑地点为：</w:t>
            </w:r>
            <w:r>
              <w:rPr>
                <w:rFonts w:hint="eastAsia" w:ascii="宋体" w:hAnsi="宋体" w:eastAsia="宋体" w:cs="宋体"/>
                <w:sz w:val="24"/>
                <w:szCs w:val="24"/>
                <w:u w:val="single"/>
                <w:lang w:val="en-US" w:eastAsia="zh-CN"/>
              </w:rPr>
              <w:t xml:space="preserve">                        </w:t>
            </w:r>
          </w:p>
          <w:p w14:paraId="05550F8D">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b/>
                <w:bCs/>
                <w:sz w:val="24"/>
                <w:szCs w:val="24"/>
                <w:lang w:val="zh-CN" w:eastAsia="zh-CN"/>
              </w:rPr>
              <w:sym w:font="Wingdings 2" w:char="0052"/>
            </w:r>
            <w:r>
              <w:rPr>
                <w:rFonts w:hint="eastAsia" w:ascii="宋体" w:hAnsi="宋体" w:eastAsia="宋体" w:cs="宋体"/>
                <w:b/>
                <w:bCs/>
                <w:sz w:val="24"/>
                <w:szCs w:val="24"/>
              </w:rPr>
              <w:t>不组织</w:t>
            </w:r>
          </w:p>
        </w:tc>
      </w:tr>
      <w:tr w14:paraId="1DD95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7" w:hRule="atLeast"/>
        </w:trPr>
        <w:tc>
          <w:tcPr>
            <w:tcW w:w="674" w:type="dxa"/>
            <w:vAlign w:val="center"/>
          </w:tcPr>
          <w:p w14:paraId="05BA3EA6">
            <w:pPr>
              <w:jc w:val="center"/>
              <w:rPr>
                <w:rFonts w:hint="eastAsia" w:ascii="宋体" w:hAnsi="宋体" w:eastAsia="宋体" w:cs="宋体"/>
                <w:sz w:val="24"/>
                <w:szCs w:val="24"/>
              </w:rPr>
            </w:pPr>
            <w:r>
              <w:rPr>
                <w:rFonts w:hint="eastAsia" w:ascii="宋体" w:hAnsi="宋体" w:eastAsia="宋体" w:cs="宋体"/>
                <w:sz w:val="24"/>
                <w:szCs w:val="24"/>
              </w:rPr>
              <w:t>8</w:t>
            </w:r>
          </w:p>
        </w:tc>
        <w:tc>
          <w:tcPr>
            <w:tcW w:w="1516" w:type="dxa"/>
            <w:vAlign w:val="center"/>
          </w:tcPr>
          <w:p w14:paraId="272913DF">
            <w:pPr>
              <w:jc w:val="center"/>
              <w:rPr>
                <w:rFonts w:hint="eastAsia" w:ascii="宋体" w:hAnsi="宋体" w:eastAsia="宋体" w:cs="宋体"/>
                <w:sz w:val="24"/>
                <w:szCs w:val="24"/>
              </w:rPr>
            </w:pPr>
            <w:r>
              <w:rPr>
                <w:rFonts w:hint="eastAsia" w:ascii="宋体" w:hAnsi="宋体" w:eastAsia="宋体" w:cs="宋体"/>
                <w:sz w:val="24"/>
                <w:szCs w:val="24"/>
              </w:rPr>
              <w:t>价格分比重</w:t>
            </w:r>
          </w:p>
        </w:tc>
        <w:tc>
          <w:tcPr>
            <w:tcW w:w="8170" w:type="dxa"/>
            <w:vAlign w:val="center"/>
          </w:tcPr>
          <w:p w14:paraId="596FFBBF">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r>
              <w:rPr>
                <w:rFonts w:hint="eastAsia" w:ascii="宋体" w:hAnsi="宋体" w:eastAsia="宋体" w:cs="宋体"/>
                <w:sz w:val="24"/>
                <w:szCs w:val="24"/>
              </w:rPr>
              <w:t>占总分值的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10</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206F106">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lang w:eastAsia="zh-CN"/>
              </w:rPr>
            </w:pPr>
            <w:r>
              <w:rPr>
                <w:rFonts w:hint="eastAsia" w:ascii="宋体" w:hAnsi="宋体" w:eastAsia="宋体" w:cs="宋体"/>
                <w:sz w:val="24"/>
                <w:szCs w:val="24"/>
              </w:rPr>
              <w:t>[招标]根据《政府采购货物和服务招标投标管理办法》(财政部87号令)的规定综合评分法服务项目的价格分值占总分值的比重不得低于10%。执行国家统一定价标准和采用固定价格采购的项目，其价格不列为评审因素[</w:t>
            </w:r>
            <w:r>
              <w:rPr>
                <w:rFonts w:hint="eastAsia" w:ascii="宋体" w:hAnsi="宋体" w:eastAsia="宋体" w:cs="宋体"/>
                <w:sz w:val="24"/>
                <w:szCs w:val="24"/>
                <w:lang w:val="en-US" w:eastAsia="zh-CN"/>
              </w:rPr>
              <w:t>磋商</w:t>
            </w:r>
            <w:r>
              <w:rPr>
                <w:rFonts w:hint="eastAsia" w:ascii="宋体" w:hAnsi="宋体" w:eastAsia="宋体" w:cs="宋体"/>
                <w:sz w:val="24"/>
                <w:szCs w:val="24"/>
              </w:rPr>
              <w:t>]根据《政府采购竞争性</w:t>
            </w:r>
            <w:r>
              <w:rPr>
                <w:rFonts w:hint="eastAsia" w:ascii="宋体" w:hAnsi="宋体" w:eastAsia="宋体" w:cs="宋体"/>
                <w:sz w:val="24"/>
                <w:szCs w:val="24"/>
                <w:lang w:val="en-US" w:eastAsia="zh-CN"/>
              </w:rPr>
              <w:t>磋商</w:t>
            </w:r>
            <w:r>
              <w:rPr>
                <w:rFonts w:hint="eastAsia" w:ascii="宋体" w:hAnsi="宋体" w:eastAsia="宋体" w:cs="宋体"/>
                <w:sz w:val="24"/>
                <w:szCs w:val="24"/>
              </w:rPr>
              <w:t>采购方式管理暂行办法》(财库(2014)214号)的规定，服务项目的价格分值占总分值的比重(即权值)为10%-30%</w:t>
            </w:r>
            <w:r>
              <w:rPr>
                <w:rFonts w:hint="eastAsia" w:ascii="宋体" w:hAnsi="宋体" w:eastAsia="宋体" w:cs="宋体"/>
                <w:sz w:val="24"/>
                <w:szCs w:val="24"/>
                <w:lang w:eastAsia="zh-CN"/>
              </w:rPr>
              <w:t>。</w:t>
            </w:r>
          </w:p>
          <w:p w14:paraId="067620ED">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lang w:eastAsia="zh-CN"/>
              </w:rPr>
            </w:pPr>
            <w:r>
              <w:rPr>
                <w:rFonts w:hint="eastAsia" w:ascii="宋体" w:hAnsi="宋体" w:eastAsia="宋体" w:cs="宋体"/>
                <w:spacing w:val="11"/>
                <w:sz w:val="24"/>
                <w:szCs w:val="24"/>
              </w:rPr>
              <w:t>[其他采购方式]无须设置。</w:t>
            </w:r>
          </w:p>
        </w:tc>
      </w:tr>
      <w:tr w14:paraId="478B4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674" w:type="dxa"/>
            <w:vAlign w:val="center"/>
          </w:tcPr>
          <w:p w14:paraId="4000FE92">
            <w:pPr>
              <w:jc w:val="center"/>
              <w:rPr>
                <w:rFonts w:hint="eastAsia" w:ascii="宋体" w:hAnsi="宋体" w:eastAsia="宋体" w:cs="宋体"/>
                <w:snapToGrid w:val="0"/>
                <w:color w:val="000000"/>
                <w:kern w:val="0"/>
                <w:sz w:val="24"/>
                <w:szCs w:val="24"/>
              </w:rPr>
            </w:pPr>
            <w:r>
              <w:rPr>
                <w:rFonts w:hint="eastAsia" w:ascii="宋体" w:hAnsi="宋体" w:eastAsia="宋体" w:cs="宋体"/>
                <w:sz w:val="24"/>
                <w:szCs w:val="24"/>
              </w:rPr>
              <w:t>9</w:t>
            </w:r>
          </w:p>
        </w:tc>
        <w:tc>
          <w:tcPr>
            <w:tcW w:w="1516" w:type="dxa"/>
            <w:vAlign w:val="center"/>
          </w:tcPr>
          <w:p w14:paraId="7AD068F9">
            <w:pPr>
              <w:jc w:val="center"/>
              <w:rPr>
                <w:rFonts w:hint="eastAsia" w:ascii="宋体" w:hAnsi="宋体" w:eastAsia="宋体" w:cs="宋体"/>
                <w:snapToGrid w:val="0"/>
                <w:color w:val="000000"/>
                <w:kern w:val="0"/>
                <w:sz w:val="24"/>
                <w:szCs w:val="24"/>
              </w:rPr>
            </w:pPr>
            <w:r>
              <w:rPr>
                <w:rFonts w:hint="eastAsia" w:ascii="宋体" w:hAnsi="宋体" w:eastAsia="宋体" w:cs="宋体"/>
                <w:sz w:val="24"/>
                <w:szCs w:val="24"/>
              </w:rPr>
              <w:t>合同类型</w:t>
            </w:r>
          </w:p>
        </w:tc>
        <w:tc>
          <w:tcPr>
            <w:tcW w:w="8170" w:type="dxa"/>
            <w:vAlign w:val="center"/>
          </w:tcPr>
          <w:p w14:paraId="6D68CE62">
            <w:pPr>
              <w:jc w:val="left"/>
              <w:rPr>
                <w:rFonts w:hint="eastAsia" w:ascii="宋体" w:hAnsi="宋体" w:eastAsia="宋体" w:cs="宋体"/>
                <w:b/>
                <w:bCs/>
                <w:sz w:val="24"/>
                <w:szCs w:val="24"/>
              </w:rPr>
            </w:pPr>
            <w:r>
              <w:rPr>
                <w:rFonts w:hint="eastAsia" w:ascii="宋体" w:hAnsi="宋体" w:eastAsia="宋体" w:cs="宋体"/>
                <w:b/>
                <w:bCs/>
                <w:sz w:val="24"/>
                <w:szCs w:val="24"/>
                <w:lang w:val="zh-CN" w:eastAsia="zh-CN"/>
              </w:rPr>
              <w:sym w:font="Wingdings 2" w:char="0052"/>
            </w:r>
            <w:r>
              <w:rPr>
                <w:rFonts w:hint="eastAsia" w:ascii="宋体" w:hAnsi="宋体" w:eastAsia="宋体" w:cs="宋体"/>
                <w:b/>
                <w:bCs/>
                <w:sz w:val="24"/>
                <w:szCs w:val="24"/>
              </w:rPr>
              <w:t>固定总价</w:t>
            </w:r>
          </w:p>
          <w:p w14:paraId="6EB734BF">
            <w:pPr>
              <w:jc w:val="left"/>
              <w:rPr>
                <w:rFonts w:hint="eastAsia" w:ascii="宋体" w:hAnsi="宋体" w:eastAsia="宋体" w:cs="宋体"/>
                <w:sz w:val="24"/>
                <w:szCs w:val="24"/>
              </w:rPr>
            </w:pPr>
            <w:r>
              <w:rPr>
                <w:rFonts w:hint="eastAsia" w:ascii="宋体" w:hAnsi="宋体" w:eastAsia="宋体" w:cs="宋体"/>
                <w:sz w:val="24"/>
                <w:szCs w:val="24"/>
                <w:lang w:val="zh-CN" w:eastAsia="zh-CN"/>
              </w:rPr>
              <w:sym w:font="Wingdings 2" w:char="00A3"/>
            </w:r>
            <w:r>
              <w:rPr>
                <w:rFonts w:hint="eastAsia" w:ascii="宋体" w:hAnsi="宋体" w:eastAsia="宋体" w:cs="宋体"/>
                <w:sz w:val="24"/>
                <w:szCs w:val="24"/>
              </w:rPr>
              <w:t>固定单价(适用于采购数量不定的情形)</w:t>
            </w:r>
          </w:p>
          <w:p w14:paraId="56AC26C8">
            <w:pPr>
              <w:jc w:val="left"/>
              <w:rPr>
                <w:rFonts w:hint="eastAsia" w:ascii="宋体" w:hAnsi="宋体" w:eastAsia="宋体" w:cs="宋体"/>
                <w:snapToGrid w:val="0"/>
                <w:color w:val="000000"/>
                <w:kern w:val="0"/>
                <w:sz w:val="24"/>
                <w:szCs w:val="24"/>
                <w:u w:val="single"/>
                <w:lang w:val="en-US" w:eastAsia="zh-CN"/>
              </w:rPr>
            </w:pPr>
            <w:r>
              <w:rPr>
                <w:rFonts w:hint="eastAsia" w:ascii="宋体" w:hAnsi="宋体" w:eastAsia="宋体" w:cs="宋体"/>
                <w:sz w:val="24"/>
                <w:szCs w:val="24"/>
                <w:lang w:val="zh-CN" w:eastAsia="zh-CN"/>
              </w:rPr>
              <w:sym w:font="Wingdings 2" w:char="00A3"/>
            </w:r>
            <w:r>
              <w:rPr>
                <w:rFonts w:hint="eastAsia" w:ascii="宋体" w:hAnsi="宋体" w:eastAsia="宋体" w:cs="宋体"/>
                <w:sz w:val="24"/>
                <w:szCs w:val="24"/>
              </w:rPr>
              <w:t>其他：</w:t>
            </w:r>
            <w:r>
              <w:rPr>
                <w:rFonts w:hint="eastAsia" w:ascii="宋体" w:hAnsi="宋体" w:eastAsia="宋体" w:cs="宋体"/>
                <w:sz w:val="24"/>
                <w:szCs w:val="24"/>
                <w:u w:val="single"/>
                <w:lang w:val="en-US" w:eastAsia="zh-CN"/>
              </w:rPr>
              <w:t xml:space="preserve">                            </w:t>
            </w:r>
          </w:p>
        </w:tc>
      </w:tr>
      <w:tr w14:paraId="089C4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3" w:hRule="atLeast"/>
        </w:trPr>
        <w:tc>
          <w:tcPr>
            <w:tcW w:w="0" w:type="auto"/>
            <w:vAlign w:val="center"/>
          </w:tcPr>
          <w:p w14:paraId="09C223B9">
            <w:pPr>
              <w:jc w:val="center"/>
              <w:rPr>
                <w:rFonts w:hint="eastAsia" w:ascii="宋体" w:hAnsi="宋体" w:eastAsia="宋体" w:cs="宋体"/>
                <w:snapToGrid w:val="0"/>
                <w:color w:val="000000"/>
                <w:kern w:val="0"/>
                <w:sz w:val="24"/>
                <w:szCs w:val="24"/>
              </w:rPr>
            </w:pPr>
            <w:r>
              <w:rPr>
                <w:rFonts w:hint="eastAsia" w:ascii="宋体" w:hAnsi="宋体" w:eastAsia="宋体" w:cs="宋体"/>
                <w:sz w:val="24"/>
                <w:szCs w:val="24"/>
              </w:rPr>
              <w:t>10</w:t>
            </w:r>
          </w:p>
        </w:tc>
        <w:tc>
          <w:tcPr>
            <w:tcW w:w="1516" w:type="dxa"/>
            <w:vAlign w:val="center"/>
          </w:tcPr>
          <w:p w14:paraId="2767F6DA">
            <w:pPr>
              <w:jc w:val="center"/>
              <w:rPr>
                <w:rFonts w:hint="eastAsia" w:ascii="宋体" w:hAnsi="宋体" w:eastAsia="宋体" w:cs="宋体"/>
                <w:snapToGrid w:val="0"/>
                <w:color w:val="000000"/>
                <w:kern w:val="0"/>
                <w:sz w:val="24"/>
                <w:szCs w:val="24"/>
              </w:rPr>
            </w:pPr>
            <w:r>
              <w:rPr>
                <w:rFonts w:hint="eastAsia" w:ascii="宋体" w:hAnsi="宋体" w:eastAsia="宋体" w:cs="宋体"/>
                <w:sz w:val="24"/>
                <w:szCs w:val="24"/>
              </w:rPr>
              <w:t>争议解决途径</w:t>
            </w:r>
          </w:p>
        </w:tc>
        <w:tc>
          <w:tcPr>
            <w:tcW w:w="8170" w:type="dxa"/>
            <w:vAlign w:val="center"/>
          </w:tcPr>
          <w:p w14:paraId="7388D693">
            <w:pPr>
              <w:jc w:val="left"/>
              <w:rPr>
                <w:rFonts w:hint="eastAsia" w:ascii="宋体" w:hAnsi="宋体" w:eastAsia="宋体" w:cs="宋体"/>
                <w:b/>
                <w:bCs/>
                <w:sz w:val="24"/>
                <w:szCs w:val="24"/>
              </w:rPr>
            </w:pPr>
            <w:r>
              <w:rPr>
                <w:rFonts w:hint="eastAsia" w:ascii="宋体" w:hAnsi="宋体" w:eastAsia="宋体" w:cs="宋体"/>
                <w:b/>
                <w:bCs/>
                <w:sz w:val="24"/>
                <w:szCs w:val="24"/>
                <w:lang w:val="zh-CN" w:eastAsia="zh-CN"/>
              </w:rPr>
              <w:sym w:font="Wingdings 2" w:char="0052"/>
            </w:r>
            <w:r>
              <w:rPr>
                <w:rFonts w:hint="eastAsia" w:ascii="宋体" w:hAnsi="宋体" w:eastAsia="宋体" w:cs="宋体"/>
                <w:b/>
                <w:bCs/>
                <w:sz w:val="24"/>
                <w:szCs w:val="24"/>
              </w:rPr>
              <w:t>向有管辖权的人民法院提起诉讼</w:t>
            </w:r>
          </w:p>
          <w:p w14:paraId="1FF1991B">
            <w:pPr>
              <w:jc w:val="left"/>
              <w:rPr>
                <w:rFonts w:hint="eastAsia" w:ascii="宋体" w:hAnsi="宋体" w:eastAsia="宋体" w:cs="宋体"/>
                <w:sz w:val="24"/>
                <w:szCs w:val="24"/>
              </w:rPr>
            </w:pPr>
            <w:r>
              <w:rPr>
                <w:rFonts w:hint="eastAsia" w:ascii="宋体" w:hAnsi="宋体" w:eastAsia="宋体" w:cs="宋体"/>
                <w:sz w:val="24"/>
                <w:szCs w:val="24"/>
                <w:lang w:val="zh-CN" w:eastAsia="zh-CN"/>
              </w:rPr>
              <w:sym w:font="Wingdings 2" w:char="00A3"/>
            </w:r>
            <w:r>
              <w:rPr>
                <w:rFonts w:hint="eastAsia" w:ascii="宋体" w:hAnsi="宋体" w:eastAsia="宋体" w:cs="宋体"/>
                <w:sz w:val="24"/>
                <w:szCs w:val="24"/>
              </w:rPr>
              <w:t>向西安仲裁委员会提请仲裁</w:t>
            </w:r>
          </w:p>
          <w:p w14:paraId="0C854509">
            <w:pPr>
              <w:jc w:val="left"/>
              <w:rPr>
                <w:rFonts w:hint="eastAsia" w:ascii="宋体" w:hAnsi="宋体" w:eastAsia="宋体" w:cs="宋体"/>
                <w:snapToGrid w:val="0"/>
                <w:color w:val="000000"/>
                <w:kern w:val="0"/>
                <w:sz w:val="24"/>
                <w:szCs w:val="24"/>
              </w:rPr>
            </w:pPr>
            <w:r>
              <w:rPr>
                <w:rFonts w:hint="eastAsia" w:ascii="宋体" w:hAnsi="宋体" w:eastAsia="宋体" w:cs="宋体"/>
                <w:sz w:val="24"/>
                <w:szCs w:val="24"/>
                <w:lang w:val="zh-CN" w:eastAsia="zh-CN"/>
              </w:rPr>
              <w:sym w:font="Wingdings 2" w:char="00A3"/>
            </w:r>
            <w:r>
              <w:rPr>
                <w:rFonts w:hint="eastAsia" w:ascii="宋体" w:hAnsi="宋体" w:eastAsia="宋体" w:cs="宋体"/>
                <w:sz w:val="24"/>
                <w:szCs w:val="24"/>
              </w:rPr>
              <w:t>由供应商做出选择</w:t>
            </w:r>
          </w:p>
        </w:tc>
      </w:tr>
      <w:tr w14:paraId="116AE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0" w:hRule="atLeast"/>
        </w:trPr>
        <w:tc>
          <w:tcPr>
            <w:tcW w:w="0" w:type="auto"/>
            <w:vAlign w:val="center"/>
          </w:tcPr>
          <w:p w14:paraId="65F25C55">
            <w:pPr>
              <w:jc w:val="center"/>
              <w:rPr>
                <w:rFonts w:hint="eastAsia" w:ascii="宋体" w:hAnsi="宋体" w:eastAsia="宋体" w:cs="宋体"/>
                <w:snapToGrid w:val="0"/>
                <w:color w:val="000000"/>
                <w:kern w:val="0"/>
                <w:sz w:val="24"/>
                <w:szCs w:val="24"/>
              </w:rPr>
            </w:pPr>
            <w:r>
              <w:rPr>
                <w:rFonts w:hint="eastAsia" w:ascii="宋体" w:hAnsi="宋体" w:eastAsia="宋体" w:cs="宋体"/>
                <w:sz w:val="24"/>
                <w:szCs w:val="24"/>
              </w:rPr>
              <w:t>11</w:t>
            </w:r>
          </w:p>
        </w:tc>
        <w:tc>
          <w:tcPr>
            <w:tcW w:w="1516" w:type="dxa"/>
            <w:vAlign w:val="center"/>
          </w:tcPr>
          <w:p w14:paraId="565F5626">
            <w:pPr>
              <w:jc w:val="center"/>
              <w:rPr>
                <w:rFonts w:hint="eastAsia" w:ascii="宋体" w:hAnsi="宋体" w:eastAsia="宋体" w:cs="宋体"/>
                <w:snapToGrid w:val="0"/>
                <w:color w:val="000000"/>
                <w:kern w:val="0"/>
                <w:sz w:val="24"/>
                <w:szCs w:val="24"/>
              </w:rPr>
            </w:pPr>
            <w:r>
              <w:rPr>
                <w:rFonts w:hint="eastAsia" w:ascii="宋体" w:hAnsi="宋体" w:eastAsia="宋体" w:cs="宋体"/>
                <w:sz w:val="24"/>
                <w:szCs w:val="24"/>
              </w:rPr>
              <w:t>联系方式</w:t>
            </w:r>
          </w:p>
        </w:tc>
        <w:tc>
          <w:tcPr>
            <w:tcW w:w="8170" w:type="dxa"/>
            <w:vAlign w:val="center"/>
          </w:tcPr>
          <w:p w14:paraId="43A42A06">
            <w:pPr>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项目对接人：</w:t>
            </w:r>
            <w:r>
              <w:rPr>
                <w:rFonts w:hint="eastAsia" w:ascii="宋体" w:hAnsi="宋体" w:eastAsia="宋体" w:cs="宋体"/>
                <w:sz w:val="24"/>
                <w:szCs w:val="24"/>
                <w:u w:val="single"/>
                <w:lang w:val="en-US" w:eastAsia="zh-CN"/>
              </w:rPr>
              <w:t xml:space="preserve">  李朝阳  </w:t>
            </w:r>
          </w:p>
          <w:p w14:paraId="12FA84EE">
            <w:pPr>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联系电话：</w:t>
            </w:r>
            <w:r>
              <w:rPr>
                <w:rFonts w:hint="eastAsia" w:ascii="宋体" w:hAnsi="宋体" w:eastAsia="宋体" w:cs="宋体"/>
                <w:sz w:val="24"/>
                <w:szCs w:val="24"/>
                <w:u w:val="single"/>
                <w:lang w:val="en-US" w:eastAsia="zh-CN"/>
              </w:rPr>
              <w:t xml:space="preserve">   029-68321363     </w:t>
            </w:r>
          </w:p>
          <w:p w14:paraId="4FCB75ED">
            <w:pPr>
              <w:jc w:val="left"/>
              <w:rPr>
                <w:rFonts w:hint="eastAsia" w:ascii="宋体" w:hAnsi="宋体" w:eastAsia="宋体" w:cs="宋体"/>
                <w:snapToGrid w:val="0"/>
                <w:color w:val="000000"/>
                <w:kern w:val="0"/>
                <w:sz w:val="24"/>
                <w:szCs w:val="24"/>
                <w:u w:val="single"/>
                <w:lang w:val="en-US" w:eastAsia="zh-CN"/>
              </w:rPr>
            </w:pPr>
            <w:r>
              <w:rPr>
                <w:rFonts w:hint="eastAsia" w:ascii="宋体" w:hAnsi="宋体" w:eastAsia="宋体" w:cs="宋体"/>
                <w:sz w:val="24"/>
                <w:szCs w:val="24"/>
              </w:rPr>
              <w:t>电子邮箱：</w:t>
            </w:r>
            <w:r>
              <w:rPr>
                <w:rFonts w:hint="eastAsia" w:ascii="宋体" w:hAnsi="宋体" w:eastAsia="宋体" w:cs="宋体"/>
                <w:sz w:val="24"/>
                <w:szCs w:val="24"/>
                <w:u w:val="single"/>
                <w:lang w:val="en-US" w:eastAsia="zh-CN"/>
              </w:rPr>
              <w:t xml:space="preserve">    /    </w:t>
            </w:r>
          </w:p>
        </w:tc>
      </w:tr>
    </w:tbl>
    <w:p w14:paraId="794FC2AD">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宋体" w:hAnsi="宋体" w:eastAsia="宋体" w:cs="宋体"/>
          <w:sz w:val="24"/>
          <w:szCs w:val="24"/>
        </w:rPr>
      </w:pPr>
    </w:p>
    <w:p w14:paraId="78861FE0">
      <w:pPr>
        <w:rPr>
          <w:rFonts w:hint="eastAsia" w:ascii="宋体" w:hAnsi="宋体" w:eastAsia="宋体" w:cs="宋体"/>
        </w:rPr>
        <w:sectPr>
          <w:pgSz w:w="13770" w:h="23290"/>
          <w:pgMar w:top="1440" w:right="1800" w:bottom="1440" w:left="1800" w:header="0" w:footer="0" w:gutter="0"/>
          <w:cols w:space="720" w:num="1"/>
        </w:sectPr>
      </w:pPr>
    </w:p>
    <w:p w14:paraId="43557973">
      <w:pPr>
        <w:spacing w:line="245" w:lineRule="auto"/>
        <w:jc w:val="center"/>
        <w:rPr>
          <w:rFonts w:hint="default" w:ascii="宋体" w:hAnsi="宋体" w:eastAsia="宋体" w:cs="宋体"/>
          <w:b/>
          <w:bCs/>
          <w:sz w:val="36"/>
          <w:szCs w:val="36"/>
          <w:lang w:val="en-US" w:eastAsia="zh-CN"/>
        </w:rPr>
      </w:pPr>
      <w:r>
        <w:rPr>
          <w:rFonts w:hint="eastAsia" w:ascii="宋体" w:hAnsi="宋体" w:eastAsia="宋体" w:cs="宋体"/>
          <w:b/>
          <w:bCs/>
          <w:sz w:val="36"/>
          <w:szCs w:val="36"/>
          <w:lang w:val="en-US" w:eastAsia="zh-CN"/>
        </w:rPr>
        <w:t>采购需求及相关要求</w:t>
      </w:r>
    </w:p>
    <w:p w14:paraId="1382A7CF">
      <w:pPr>
        <w:spacing w:line="246" w:lineRule="auto"/>
        <w:rPr>
          <w:rFonts w:hint="eastAsia" w:ascii="宋体" w:hAnsi="宋体" w:eastAsia="宋体" w:cs="宋体"/>
          <w:sz w:val="21"/>
        </w:rPr>
      </w:pPr>
    </w:p>
    <w:p w14:paraId="16859EF7">
      <w:pPr>
        <w:spacing w:line="246" w:lineRule="auto"/>
        <w:rPr>
          <w:rFonts w:hint="eastAsia" w:ascii="宋体" w:hAnsi="宋体" w:eastAsia="宋体" w:cs="宋体"/>
          <w:sz w:val="21"/>
        </w:rPr>
      </w:pPr>
    </w:p>
    <w:p w14:paraId="53E3A0AE">
      <w:pPr>
        <w:keepNext w:val="0"/>
        <w:keepLines w:val="0"/>
        <w:pageBreakBefore w:val="0"/>
        <w:widowControl/>
        <w:kinsoku w:val="0"/>
        <w:wordWrap/>
        <w:overflowPunct/>
        <w:topLinePunct w:val="0"/>
        <w:autoSpaceDE w:val="0"/>
        <w:autoSpaceDN w:val="0"/>
        <w:bidi w:val="0"/>
        <w:adjustRightInd w:val="0"/>
        <w:snapToGrid w:val="0"/>
        <w:spacing w:line="240" w:lineRule="auto"/>
        <w:ind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一 、项目概况</w:t>
      </w:r>
    </w:p>
    <w:p w14:paraId="2002390E">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sz w:val="24"/>
          <w:szCs w:val="24"/>
        </w:rPr>
      </w:pPr>
      <w:r>
        <w:rPr>
          <w:rFonts w:hint="eastAsia" w:ascii="宋体" w:hAnsi="宋体" w:eastAsia="宋体" w:cs="宋体"/>
          <w:sz w:val="24"/>
        </w:rPr>
        <mc:AlternateContent>
          <mc:Choice Requires="wps">
            <w:drawing>
              <wp:anchor distT="0" distB="0" distL="114300" distR="114300" simplePos="0" relativeHeight="251659264" behindDoc="0" locked="0" layoutInCell="1" allowOverlap="1">
                <wp:simplePos x="0" y="0"/>
                <wp:positionH relativeFrom="column">
                  <wp:posOffset>10160</wp:posOffset>
                </wp:positionH>
                <wp:positionV relativeFrom="paragraph">
                  <wp:posOffset>53340</wp:posOffset>
                </wp:positionV>
                <wp:extent cx="6042660" cy="10795"/>
                <wp:effectExtent l="33655" t="26670" r="38735" b="76835"/>
                <wp:wrapNone/>
                <wp:docPr id="4" name="直接连接符 4"/>
                <wp:cNvGraphicFramePr/>
                <a:graphic xmlns:a="http://schemas.openxmlformats.org/drawingml/2006/main">
                  <a:graphicData uri="http://schemas.microsoft.com/office/word/2010/wordprocessingShape">
                    <wps:wsp>
                      <wps:cNvCnPr/>
                      <wps:spPr>
                        <a:xfrm>
                          <a:off x="1153160" y="5324475"/>
                          <a:ext cx="6042660" cy="107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8pt;margin-top:4.2pt;height:0.85pt;width:475.8pt;z-index:251659264;mso-width-relative:page;mso-height-relative:page;" filled="f" stroked="t" coordsize="21600,21600" o:gfxdata="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1tyTT1wAAAAYBAAAPAAAAAAAAAAEAIAAAACIAAABkcnMvZG93bnJldi54bWxQ&#10;SwECFAAUAAAACACHTuJAw7aKBzECAABXBAAADgAAAAAAAAABACAAAAAmAQAAZHJzL2Uyb0RvYy54&#10;bWxQSwUGAAAAAAYABgBZAQAAyQUAAAAA&#10;">
                <v:fill on="f" focussize="0,0"/>
                <v:stroke weight="2pt" color="#000000 [3200]" joinstyle="round"/>
                <v:imagedata o:title=""/>
                <o:lock v:ext="edit" aspectratio="f"/>
                <v:shadow on="t" color="#000000" opacity="24903f" offset="0pt,1.5748031496063pt" origin="0f,32768f" matrix="65536f,0f,0f,65536f"/>
              </v:line>
            </w:pict>
          </mc:Fallback>
        </mc:AlternateContent>
      </w:r>
    </w:p>
    <w:p w14:paraId="7929CF2F">
      <w:pPr>
        <w:keepNext w:val="0"/>
        <w:keepLines w:val="0"/>
        <w:pageBreakBefore w:val="0"/>
        <w:widowControl/>
        <w:kinsoku w:val="0"/>
        <w:wordWrap/>
        <w:overflowPunct/>
        <w:topLinePunct w:val="0"/>
        <w:autoSpaceDE w:val="0"/>
        <w:autoSpaceDN w:val="0"/>
        <w:bidi w:val="0"/>
        <w:adjustRightInd w:val="0"/>
        <w:snapToGrid w:val="0"/>
        <w:spacing w:line="500" w:lineRule="exact"/>
        <w:ind w:firstLine="420" w:firstLineChars="200"/>
        <w:textAlignment w:val="baseline"/>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项目名称：蓝田县老年养护院建设项目设计</w:t>
      </w:r>
    </w:p>
    <w:p w14:paraId="21AE813A">
      <w:pPr>
        <w:keepNext w:val="0"/>
        <w:keepLines w:val="0"/>
        <w:pageBreakBefore w:val="0"/>
        <w:widowControl/>
        <w:kinsoku w:val="0"/>
        <w:wordWrap/>
        <w:overflowPunct/>
        <w:topLinePunct w:val="0"/>
        <w:autoSpaceDE w:val="0"/>
        <w:autoSpaceDN w:val="0"/>
        <w:bidi w:val="0"/>
        <w:adjustRightInd w:val="0"/>
        <w:snapToGrid w:val="0"/>
        <w:spacing w:line="500" w:lineRule="exact"/>
        <w:ind w:firstLine="420" w:firstLineChars="200"/>
        <w:textAlignment w:val="baseline"/>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项目概况：项目位于西安市蓝田县普化镇，北临灞河，南临移民安置社区灞水蓝庭，西临自然小河四河子，东侧为农林用地。项目</w:t>
      </w:r>
      <w:r>
        <w:rPr>
          <w:rFonts w:hint="eastAsia" w:ascii="宋体" w:hAnsi="宋体" w:eastAsia="宋体" w:cs="宋体"/>
          <w:b w:val="0"/>
          <w:bCs w:val="0"/>
          <w:sz w:val="21"/>
          <w:szCs w:val="21"/>
          <w:highlight w:val="none"/>
          <w:lang w:val="en-US" w:eastAsia="zh-CN"/>
        </w:rPr>
        <w:t>净用地约2</w:t>
      </w:r>
      <w:r>
        <w:rPr>
          <w:rFonts w:hint="eastAsia" w:ascii="宋体" w:hAnsi="宋体" w:eastAsia="宋体" w:cs="宋体"/>
          <w:b w:val="0"/>
          <w:bCs w:val="0"/>
          <w:sz w:val="21"/>
          <w:szCs w:val="21"/>
          <w:lang w:val="en-US" w:eastAsia="zh-CN"/>
        </w:rPr>
        <w:t>2005㎡（约33亩），新建约300张养老床位的老年养护院。</w:t>
      </w:r>
    </w:p>
    <w:p w14:paraId="2CC8B2F2">
      <w:pPr>
        <w:keepNext w:val="0"/>
        <w:keepLines w:val="0"/>
        <w:pageBreakBefore w:val="0"/>
        <w:widowControl/>
        <w:kinsoku w:val="0"/>
        <w:wordWrap/>
        <w:overflowPunct/>
        <w:topLinePunct w:val="0"/>
        <w:autoSpaceDE w:val="0"/>
        <w:autoSpaceDN w:val="0"/>
        <w:bidi w:val="0"/>
        <w:adjustRightInd w:val="0"/>
        <w:snapToGrid w:val="0"/>
        <w:spacing w:line="500" w:lineRule="exact"/>
        <w:ind w:firstLine="482" w:firstLineChars="200"/>
        <w:textAlignment w:val="baseline"/>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二、 </w:t>
      </w:r>
      <w:r>
        <w:rPr>
          <w:rFonts w:hint="eastAsia" w:ascii="宋体" w:hAnsi="宋体" w:eastAsia="宋体" w:cs="宋体"/>
          <w:b/>
          <w:bCs/>
          <w:sz w:val="24"/>
          <w:szCs w:val="24"/>
          <w:lang w:val="en-US" w:eastAsia="zh-CN"/>
        </w:rPr>
        <w:t>规划依据</w:t>
      </w:r>
    </w:p>
    <w:p w14:paraId="1E383EFF">
      <w:pPr>
        <w:keepNext w:val="0"/>
        <w:keepLines w:val="0"/>
        <w:pageBreakBefore w:val="0"/>
        <w:widowControl/>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sz w:val="24"/>
          <w:szCs w:val="24"/>
        </w:rPr>
      </w:pPr>
      <w:r>
        <w:rPr>
          <w:rFonts w:hint="eastAsia" w:ascii="宋体" w:hAnsi="宋体" w:eastAsia="宋体" w:cs="宋体"/>
          <w:sz w:val="24"/>
        </w:rPr>
        <mc:AlternateContent>
          <mc:Choice Requires="wps">
            <w:drawing>
              <wp:anchor distT="0" distB="0" distL="114300" distR="114300" simplePos="0" relativeHeight="251662336" behindDoc="0" locked="0" layoutInCell="1" allowOverlap="1">
                <wp:simplePos x="0" y="0"/>
                <wp:positionH relativeFrom="column">
                  <wp:posOffset>46355</wp:posOffset>
                </wp:positionH>
                <wp:positionV relativeFrom="paragraph">
                  <wp:posOffset>135255</wp:posOffset>
                </wp:positionV>
                <wp:extent cx="6042660" cy="10795"/>
                <wp:effectExtent l="33655" t="26670" r="38735" b="76835"/>
                <wp:wrapNone/>
                <wp:docPr id="2" name="直接连接符 2"/>
                <wp:cNvGraphicFramePr/>
                <a:graphic xmlns:a="http://schemas.openxmlformats.org/drawingml/2006/main">
                  <a:graphicData uri="http://schemas.microsoft.com/office/word/2010/wordprocessingShape">
                    <wps:wsp>
                      <wps:cNvCnPr/>
                      <wps:spPr>
                        <a:xfrm>
                          <a:off x="0" y="0"/>
                          <a:ext cx="6042660" cy="107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3.65pt;margin-top:10.65pt;height:0.85pt;width:475.8pt;z-index:251662336;mso-width-relative:page;mso-height-relative:page;" filled="f" stroked="t" coordsize="21600,21600" o:gfxdata="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f&#10;zwzI2gAAAAcBAAAPAAAAAAAAAAEAIAAAACIAAABkcnMvZG93bnJldi54bWxQSwECFAAUAAAACACH&#10;TuJA6yI55CICAABLBAAADgAAAAAAAAABACAAAAApAQAAZHJzL2Uyb0RvYy54bWxQSwUGAAAAAAYA&#10;BgBZAQAAvQUAAAAA&#10;">
                <v:fill on="f" focussize="0,0"/>
                <v:stroke weight="2pt" color="#000000 [3200]" joinstyle="round"/>
                <v:imagedata o:title=""/>
                <o:lock v:ext="edit" aspectratio="f"/>
                <v:shadow on="t" color="#000000" opacity="24903f" offset="0pt,1.5748031496063pt" origin="0f,32768f" matrix="65536f,0f,0f,65536f"/>
              </v:line>
            </w:pict>
          </mc:Fallback>
        </mc:AlternateContent>
      </w:r>
    </w:p>
    <w:p w14:paraId="18B564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napToGrid w:val="0"/>
          <w:color w:val="000000"/>
          <w:kern w:val="0"/>
          <w:sz w:val="21"/>
          <w:szCs w:val="21"/>
          <w:lang w:val="en-US" w:eastAsia="zh-CN"/>
        </w:rPr>
        <w:t>1</w:t>
      </w:r>
      <w:r>
        <w:rPr>
          <w:rFonts w:hint="default" w:ascii="宋体" w:hAnsi="宋体" w:eastAsia="宋体" w:cs="宋体"/>
          <w:b w:val="0"/>
          <w:bCs w:val="0"/>
          <w:snapToGrid w:val="0"/>
          <w:color w:val="000000"/>
          <w:kern w:val="0"/>
          <w:sz w:val="21"/>
          <w:szCs w:val="21"/>
          <w:lang w:val="en-US" w:eastAsia="zh-CN"/>
        </w:rPr>
        <w:t>.</w:t>
      </w:r>
      <w:r>
        <w:rPr>
          <w:rFonts w:hint="eastAsia" w:ascii="宋体" w:hAnsi="宋体" w:eastAsia="宋体" w:cs="宋体"/>
          <w:b w:val="0"/>
          <w:bCs w:val="0"/>
          <w:sz w:val="21"/>
          <w:szCs w:val="21"/>
          <w:lang w:val="en-US" w:eastAsia="zh-CN"/>
        </w:rPr>
        <w:t>上位规划文件：蓝田县国土空间总体规划、片区控制性详细规划、养老事业相关政策文件。</w:t>
      </w:r>
    </w:p>
    <w:p w14:paraId="5197E2D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napToGrid w:val="0"/>
          <w:color w:val="000000"/>
          <w:kern w:val="0"/>
          <w:sz w:val="21"/>
          <w:szCs w:val="21"/>
          <w:lang w:val="en-US" w:eastAsia="zh-CN"/>
        </w:rPr>
        <w:t>2</w:t>
      </w:r>
      <w:r>
        <w:rPr>
          <w:rFonts w:hint="default" w:ascii="宋体" w:hAnsi="宋体" w:eastAsia="宋体" w:cs="宋体"/>
          <w:b w:val="0"/>
          <w:bCs w:val="0"/>
          <w:snapToGrid w:val="0"/>
          <w:color w:val="000000"/>
          <w:kern w:val="0"/>
          <w:sz w:val="21"/>
          <w:szCs w:val="21"/>
          <w:lang w:val="en-US" w:eastAsia="zh-CN"/>
        </w:rPr>
        <w:t>.</w:t>
      </w:r>
      <w:r>
        <w:rPr>
          <w:rFonts w:hint="eastAsia" w:ascii="宋体" w:hAnsi="宋体" w:eastAsia="宋体" w:cs="宋体"/>
          <w:b w:val="0"/>
          <w:bCs w:val="0"/>
          <w:sz w:val="21"/>
          <w:szCs w:val="21"/>
          <w:lang w:val="en-US" w:eastAsia="zh-CN"/>
        </w:rPr>
        <w:t>采购人提供资料：项目用地红线、场地现状资料、建设需求及相关批复文件。</w:t>
      </w:r>
    </w:p>
    <w:p w14:paraId="78FED467">
      <w:pPr>
        <w:keepNext w:val="0"/>
        <w:keepLines w:val="0"/>
        <w:pageBreakBefore w:val="0"/>
        <w:widowControl/>
        <w:kinsoku w:val="0"/>
        <w:wordWrap/>
        <w:overflowPunct/>
        <w:topLinePunct w:val="0"/>
        <w:autoSpaceDE w:val="0"/>
        <w:autoSpaceDN w:val="0"/>
        <w:bidi w:val="0"/>
        <w:adjustRightInd w:val="0"/>
        <w:snapToGrid w:val="0"/>
        <w:spacing w:line="500" w:lineRule="exact"/>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 服务内容</w:t>
      </w:r>
    </w:p>
    <w:p w14:paraId="3ED84B78">
      <w:pPr>
        <w:keepNext w:val="0"/>
        <w:keepLines w:val="0"/>
        <w:pageBreakBefore w:val="0"/>
        <w:widowControl/>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sz w:val="24"/>
          <w:szCs w:val="24"/>
        </w:rPr>
      </w:pPr>
      <w:r>
        <w:rPr>
          <w:rFonts w:hint="eastAsia" w:ascii="宋体" w:hAnsi="宋体" w:eastAsia="宋体" w:cs="宋体"/>
          <w:sz w:val="24"/>
        </w:rPr>
        <mc:AlternateContent>
          <mc:Choice Requires="wps">
            <w:drawing>
              <wp:anchor distT="0" distB="0" distL="114300" distR="114300" simplePos="0" relativeHeight="251660288" behindDoc="0" locked="0" layoutInCell="1" allowOverlap="1">
                <wp:simplePos x="0" y="0"/>
                <wp:positionH relativeFrom="column">
                  <wp:posOffset>46355</wp:posOffset>
                </wp:positionH>
                <wp:positionV relativeFrom="paragraph">
                  <wp:posOffset>135255</wp:posOffset>
                </wp:positionV>
                <wp:extent cx="6042660" cy="10795"/>
                <wp:effectExtent l="33655" t="26670" r="38735" b="76835"/>
                <wp:wrapNone/>
                <wp:docPr id="5" name="直接连接符 5"/>
                <wp:cNvGraphicFramePr/>
                <a:graphic xmlns:a="http://schemas.openxmlformats.org/drawingml/2006/main">
                  <a:graphicData uri="http://schemas.microsoft.com/office/word/2010/wordprocessingShape">
                    <wps:wsp>
                      <wps:cNvCnPr/>
                      <wps:spPr>
                        <a:xfrm>
                          <a:off x="0" y="0"/>
                          <a:ext cx="6042660" cy="107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3.65pt;margin-top:10.65pt;height:0.85pt;width:475.8pt;z-index:251660288;mso-width-relative:page;mso-height-relative:page;" filled="f" stroked="t" coordsize="21600,21600" o:gfxdata="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F/PDMjaAAAABwEAAA8AAAAAAAAAAQAgAAAAIgAAAGRycy9kb3ducmV2LnhtbFBLAQIUABQAAAAI&#10;AIdO4kBa5O75JAIAAEsEAAAOAAAAAAAAAAEAIAAAACkBAABkcnMvZTJvRG9jLnhtbFBLBQYAAAAA&#10;BgAGAFkBAAC/BQAAAAA=&#10;">
                <v:fill on="f" focussize="0,0"/>
                <v:stroke weight="2pt" color="#000000 [3200]" joinstyle="round"/>
                <v:imagedata o:title=""/>
                <o:lock v:ext="edit" aspectratio="f"/>
                <v:shadow on="t" color="#000000" opacity="24903f" offset="0pt,1.5748031496063pt" origin="0f,32768f" matrix="65536f,0f,0f,65536f"/>
              </v:line>
            </w:pict>
          </mc:Fallback>
        </mc:AlternateContent>
      </w:r>
    </w:p>
    <w:p w14:paraId="1DBFD97A">
      <w:pPr>
        <w:keepNext w:val="0"/>
        <w:keepLines w:val="0"/>
        <w:pageBreakBefore w:val="0"/>
        <w:widowControl/>
        <w:kinsoku w:val="0"/>
        <w:wordWrap/>
        <w:overflowPunct/>
        <w:topLinePunct w:val="0"/>
        <w:autoSpaceDE w:val="0"/>
        <w:autoSpaceDN w:val="0"/>
        <w:bidi w:val="0"/>
        <w:adjustRightInd w:val="0"/>
        <w:snapToGrid w:val="0"/>
        <w:spacing w:line="500" w:lineRule="exact"/>
        <w:ind w:firstLine="420" w:firstLineChars="200"/>
        <w:textAlignment w:val="baseline"/>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本项目位于西安市蓝田县普化镇，北临灞河，南临移民安置社区灞水蓝庭，西临自然小河四河子，东侧为农林用地。项目净用地约22005㎡（约33亩），新建约300张养老床位的老年养护院，设计包括老年照料单元、办公、接待、餐厅、多功能厅等配套设施。</w:t>
      </w:r>
    </w:p>
    <w:p w14:paraId="3A820BDA">
      <w:pPr>
        <w:keepNext w:val="0"/>
        <w:keepLines w:val="0"/>
        <w:pageBreakBefore w:val="0"/>
        <w:widowControl/>
        <w:kinsoku w:val="0"/>
        <w:wordWrap/>
        <w:overflowPunct/>
        <w:topLinePunct w:val="0"/>
        <w:autoSpaceDE w:val="0"/>
        <w:autoSpaceDN w:val="0"/>
        <w:bidi w:val="0"/>
        <w:adjustRightInd w:val="0"/>
        <w:snapToGrid w:val="0"/>
        <w:spacing w:line="500" w:lineRule="exact"/>
        <w:ind w:firstLine="420" w:firstLineChars="20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本次服务主要内容包括：本项目用地红线范围内土建部分的全部方案设计、初步设计（含概算）及配套咨询服务。</w:t>
      </w:r>
    </w:p>
    <w:p w14:paraId="572B12A1">
      <w:pPr>
        <w:keepNext w:val="0"/>
        <w:keepLines w:val="0"/>
        <w:pageBreakBefore w:val="0"/>
        <w:widowControl/>
        <w:kinsoku w:val="0"/>
        <w:wordWrap/>
        <w:overflowPunct/>
        <w:topLinePunct w:val="0"/>
        <w:autoSpaceDE w:val="0"/>
        <w:autoSpaceDN w:val="0"/>
        <w:bidi w:val="0"/>
        <w:adjustRightInd w:val="0"/>
        <w:snapToGrid w:val="0"/>
        <w:spacing w:line="500" w:lineRule="exact"/>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 技术</w:t>
      </w:r>
      <w:r>
        <w:rPr>
          <w:rFonts w:hint="eastAsia" w:ascii="宋体" w:hAnsi="宋体" w:eastAsia="宋体" w:cs="宋体"/>
          <w:b/>
          <w:bCs/>
          <w:sz w:val="24"/>
          <w:szCs w:val="24"/>
          <w:lang w:eastAsia="zh-CN"/>
        </w:rPr>
        <w:t>、</w:t>
      </w:r>
      <w:r>
        <w:rPr>
          <w:rFonts w:hint="eastAsia" w:ascii="宋体" w:hAnsi="宋体" w:eastAsia="宋体" w:cs="宋体"/>
          <w:b/>
          <w:bCs/>
          <w:sz w:val="24"/>
          <w:szCs w:val="24"/>
        </w:rPr>
        <w:t>服务要求</w:t>
      </w:r>
    </w:p>
    <w:p w14:paraId="29248CA5">
      <w:pPr>
        <w:keepNext w:val="0"/>
        <w:keepLines w:val="0"/>
        <w:pageBreakBefore w:val="0"/>
        <w:widowControl/>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sz w:val="24"/>
        </w:rPr>
      </w:pPr>
      <w:r>
        <w:rPr>
          <w:rFonts w:hint="eastAsia" w:ascii="宋体" w:hAnsi="宋体" w:eastAsia="宋体" w:cs="宋体"/>
          <w:sz w:val="24"/>
        </w:rPr>
        <mc:AlternateContent>
          <mc:Choice Requires="wps">
            <w:drawing>
              <wp:anchor distT="0" distB="0" distL="114300" distR="114300" simplePos="0" relativeHeight="251661312" behindDoc="0" locked="0" layoutInCell="1" allowOverlap="1">
                <wp:simplePos x="0" y="0"/>
                <wp:positionH relativeFrom="column">
                  <wp:posOffset>-2540</wp:posOffset>
                </wp:positionH>
                <wp:positionV relativeFrom="paragraph">
                  <wp:posOffset>160655</wp:posOffset>
                </wp:positionV>
                <wp:extent cx="6042660" cy="10795"/>
                <wp:effectExtent l="33655" t="26670" r="38735" b="76835"/>
                <wp:wrapNone/>
                <wp:docPr id="6" name="直接连接符 6"/>
                <wp:cNvGraphicFramePr/>
                <a:graphic xmlns:a="http://schemas.openxmlformats.org/drawingml/2006/main">
                  <a:graphicData uri="http://schemas.microsoft.com/office/word/2010/wordprocessingShape">
                    <wps:wsp>
                      <wps:cNvCnPr/>
                      <wps:spPr>
                        <a:xfrm>
                          <a:off x="0" y="0"/>
                          <a:ext cx="6042660" cy="107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0.2pt;margin-top:12.65pt;height:0.85pt;width:475.8pt;z-index:251661312;mso-width-relative:page;mso-height-relative:page;" filled="f" stroked="t" coordsize="21600,21600" o:gfxdata="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b&#10;kRH62QAAAAcBAAAPAAAAAAAAAAEAIAAAACIAAABkcnMvZG93bnJldi54bWxQSwECFAAUAAAACACH&#10;TuJAx/wm9SMCAABLBAAADgAAAAAAAAABACAAAAAoAQAAZHJzL2Uyb0RvYy54bWxQSwUGAAAAAAYA&#10;BgBZAQAAvQUAAAAA&#10;">
                <v:fill on="f" focussize="0,0"/>
                <v:stroke weight="2pt" color="#000000 [3200]" joinstyle="round"/>
                <v:imagedata o:title=""/>
                <o:lock v:ext="edit" aspectratio="f"/>
                <v:shadow on="t" color="#000000" opacity="24903f" offset="0pt,1.5748031496063pt" origin="0f,32768f" matrix="65536f,0f,0f,65536f"/>
              </v:line>
            </w:pict>
          </mc:Fallback>
        </mc:AlternateContent>
      </w:r>
    </w:p>
    <w:p w14:paraId="5CD457BE">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完成本项目用地红线范围内土建部分的全部方案设计、初步设计（含概算）编制工作，按采购人的需求进行设计。</w:t>
      </w:r>
    </w:p>
    <w:p w14:paraId="4176994D">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对采购人或相关部门的审核修改意见进行修改、完善，保证其设计意图的最终实现。</w:t>
      </w:r>
    </w:p>
    <w:p w14:paraId="325836B6">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根据项目建设进度要求协助采购人进行报审工作，根据审查结果进行修改调整，直至有关部门审查通过，并最终向采购人提交正式施工图设计成果文件。</w:t>
      </w:r>
    </w:p>
    <w:p w14:paraId="2955740A">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根据采购人要求，及时参加与项目有关的专题会，现场解决技术问题。</w:t>
      </w:r>
    </w:p>
    <w:p w14:paraId="18DB7228">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提交的所有工程设计符合行业规格标准，符合国内相关标准和有关规定，并应通过相关部门的审查。</w:t>
      </w:r>
    </w:p>
    <w:p w14:paraId="7D6F1DE3">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保密要求：对项目用地、建设资料、全部设计成果承担保密责任，未经采购人书面许可，不得对外泄露、传播。</w:t>
      </w:r>
    </w:p>
    <w:p w14:paraId="031531B2">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知识产权：本项目全部设计成果知识产权归采购方所有，供应商享有设计署名权。</w:t>
      </w:r>
    </w:p>
    <w:p w14:paraId="33123D6F">
      <w:pPr>
        <w:keepNext w:val="0"/>
        <w:keepLines w:val="0"/>
        <w:pageBreakBefore w:val="0"/>
        <w:widowControl/>
        <w:numPr>
          <w:ilvl w:val="0"/>
          <w:numId w:val="1"/>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技术答疑：成果交付后针对本项目设计内容提供免费技术答疑服务。</w:t>
      </w:r>
    </w:p>
    <w:p w14:paraId="2D60B181">
      <w:pPr>
        <w:keepNext w:val="0"/>
        <w:keepLines w:val="0"/>
        <w:pageBreakBefore w:val="0"/>
        <w:widowControl/>
        <w:tabs>
          <w:tab w:val="left" w:pos="2434"/>
        </w:tabs>
        <w:kinsoku w:val="0"/>
        <w:wordWrap/>
        <w:overflowPunct/>
        <w:topLinePunct w:val="0"/>
        <w:autoSpaceDE w:val="0"/>
        <w:autoSpaceDN w:val="0"/>
        <w:bidi w:val="0"/>
        <w:adjustRightInd w:val="0"/>
        <w:snapToGrid w:val="0"/>
        <w:spacing w:line="500" w:lineRule="exact"/>
        <w:ind w:firstLine="482" w:firstLineChars="200"/>
        <w:textAlignment w:val="baseline"/>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六</w:t>
      </w:r>
      <w:r>
        <w:rPr>
          <w:rFonts w:hint="eastAsia" w:ascii="宋体" w:hAnsi="宋体" w:eastAsia="宋体" w:cs="宋体"/>
          <w:b/>
          <w:bCs/>
          <w:sz w:val="24"/>
          <w:szCs w:val="24"/>
        </w:rPr>
        <w:t>、 商务要求</w:t>
      </w:r>
    </w:p>
    <w:p w14:paraId="075DA39E">
      <w:pPr>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mc:AlternateContent>
          <mc:Choice Requires="wps">
            <w:drawing>
              <wp:anchor distT="0" distB="0" distL="114300" distR="114300" simplePos="0" relativeHeight="251663360" behindDoc="0" locked="0" layoutInCell="1" allowOverlap="1">
                <wp:simplePos x="0" y="0"/>
                <wp:positionH relativeFrom="column">
                  <wp:posOffset>31115</wp:posOffset>
                </wp:positionH>
                <wp:positionV relativeFrom="paragraph">
                  <wp:posOffset>64770</wp:posOffset>
                </wp:positionV>
                <wp:extent cx="6000750" cy="23495"/>
                <wp:effectExtent l="33655" t="26670" r="42545" b="83185"/>
                <wp:wrapNone/>
                <wp:docPr id="8" name="直接连接符 8"/>
                <wp:cNvGraphicFramePr/>
                <a:graphic xmlns:a="http://schemas.openxmlformats.org/drawingml/2006/main">
                  <a:graphicData uri="http://schemas.microsoft.com/office/word/2010/wordprocessingShape">
                    <wps:wsp>
                      <wps:cNvCnPr/>
                      <wps:spPr>
                        <a:xfrm>
                          <a:off x="0" y="0"/>
                          <a:ext cx="6000750" cy="234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2.45pt;margin-top:5.1pt;height:1.85pt;width:472.5pt;z-index:251663360;mso-width-relative:page;mso-height-relative:page;" filled="f" stroked="t" coordsize="21600,21600" o:gfxdata="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fwg&#10;ttgAAAAHAQAADwAAAAAAAAABACAAAAAiAAAAZHJzL2Rvd25yZXYueG1sUEsBAhQAFAAAAAgAh07i&#10;QG3o9+wiAgAASwQAAA4AAAAAAAAAAQAgAAAAJwEAAGRycy9lMm9Eb2MueG1sUEsFBgAAAAAGAAYA&#10;WQEAALsFAAAAAA==&#10;">
                <v:fill on="f" focussize="0,0"/>
                <v:stroke weight="2pt" color="#000000 [3200]" joinstyle="round"/>
                <v:imagedata o:title=""/>
                <o:lock v:ext="edit" aspectratio="f"/>
                <v:shadow on="t" color="#000000" opacity="24903f" offset="0pt,1.5748031496063pt" origin="0f,32768f" matrix="65536f,0f,0f,65536f"/>
              </v:line>
            </w:pict>
          </mc:Fallback>
        </mc:AlternateContent>
      </w:r>
      <w:r>
        <w:rPr>
          <w:rFonts w:hint="eastAsia" w:ascii="宋体" w:hAnsi="宋体" w:eastAsia="宋体" w:cs="宋体"/>
          <w:b w:val="0"/>
          <w:bCs w:val="0"/>
          <w:sz w:val="21"/>
          <w:szCs w:val="21"/>
          <w:lang w:val="en-US" w:eastAsia="zh-CN"/>
        </w:rPr>
        <w:t>设计周期：⾃合同签订之⽇起60⽇历天</w:t>
      </w:r>
    </w:p>
    <w:p w14:paraId="50379667">
      <w:pPr>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服务期限：⾃合同签订之⽇起⾄</w:t>
      </w:r>
      <w:r>
        <w:rPr>
          <w:rFonts w:hint="eastAsia" w:ascii="宋体" w:hAnsi="宋体" w:eastAsia="宋体" w:cs="宋体"/>
          <w:b w:val="0"/>
          <w:bCs w:val="0"/>
          <w:sz w:val="21"/>
          <w:szCs w:val="21"/>
          <w:lang w:val="en-US" w:eastAsia="zh-CN"/>
        </w:rPr>
        <w:t>相关部门审核</w:t>
      </w:r>
      <w:r>
        <w:rPr>
          <w:rFonts w:hint="default" w:ascii="宋体" w:hAnsi="宋体" w:eastAsia="宋体" w:cs="宋体"/>
          <w:b w:val="0"/>
          <w:bCs w:val="0"/>
          <w:sz w:val="21"/>
          <w:szCs w:val="21"/>
          <w:lang w:val="en-US" w:eastAsia="zh-CN"/>
        </w:rPr>
        <w:t>合格后。</w:t>
      </w:r>
    </w:p>
    <w:p w14:paraId="08137C5D">
      <w:pPr>
        <w:keepNext w:val="0"/>
        <w:keepLines w:val="0"/>
        <w:pageBreakBefore w:val="0"/>
        <w:widowControl/>
        <w:numPr>
          <w:ilvl w:val="0"/>
          <w:numId w:val="2"/>
        </w:numPr>
        <w:kinsoku w:val="0"/>
        <w:wordWrap/>
        <w:overflowPunct/>
        <w:topLinePunct w:val="0"/>
        <w:autoSpaceDE w:val="0"/>
        <w:autoSpaceDN w:val="0"/>
        <w:bidi w:val="0"/>
        <w:adjustRightInd w:val="0"/>
        <w:snapToGrid w:val="0"/>
        <w:spacing w:line="500" w:lineRule="exact"/>
        <w:ind w:left="425" w:leftChars="0" w:hanging="425" w:firstLineChars="0"/>
        <w:textAlignment w:val="baseline"/>
        <w:rPr>
          <w:rFonts w:hint="default" w:ascii="宋体" w:hAnsi="宋体" w:eastAsia="宋体" w:cs="宋体"/>
          <w:b w:val="0"/>
          <w:bCs w:val="0"/>
          <w:sz w:val="21"/>
          <w:szCs w:val="21"/>
          <w:lang w:val="en-US" w:eastAsia="zh-CN"/>
        </w:rPr>
      </w:pPr>
      <w:r>
        <w:rPr>
          <w:rFonts w:hint="default" w:ascii="宋体" w:hAnsi="宋体" w:eastAsia="宋体" w:cs="宋体"/>
          <w:b w:val="0"/>
          <w:bCs w:val="0"/>
          <w:sz w:val="21"/>
          <w:szCs w:val="21"/>
          <w:lang w:val="en-US" w:eastAsia="zh-CN"/>
        </w:rPr>
        <w:t>款项结算</w:t>
      </w:r>
      <w:r>
        <w:rPr>
          <w:rFonts w:hint="eastAsia" w:ascii="宋体" w:hAnsi="宋体" w:eastAsia="宋体" w:cs="宋体"/>
          <w:b w:val="0"/>
          <w:bCs w:val="0"/>
          <w:sz w:val="21"/>
          <w:szCs w:val="21"/>
          <w:lang w:val="en-US" w:eastAsia="zh-CN"/>
        </w:rPr>
        <w:t xml:space="preserve">: </w:t>
      </w:r>
    </w:p>
    <w:p w14:paraId="3B059E27">
      <w:pPr>
        <w:pStyle w:val="14"/>
        <w:ind w:firstLine="420" w:firstLineChars="200"/>
        <w:rPr>
          <w:rFonts w:hint="default" w:ascii="宋体" w:hAnsi="宋体" w:eastAsia="宋体" w:cs="宋体"/>
          <w:b w:val="0"/>
          <w:bCs w:val="0"/>
          <w:snapToGrid w:val="0"/>
          <w:color w:val="000000"/>
          <w:kern w:val="0"/>
          <w:sz w:val="21"/>
          <w:szCs w:val="21"/>
          <w:lang w:val="en-US" w:eastAsia="zh-CN"/>
        </w:rPr>
      </w:pPr>
      <w:r>
        <w:rPr>
          <w:rFonts w:hint="eastAsia" w:ascii="宋体" w:hAnsi="宋体" w:eastAsia="宋体" w:cs="宋体"/>
          <w:b w:val="0"/>
          <w:bCs w:val="0"/>
          <w:snapToGrid w:val="0"/>
          <w:color w:val="000000"/>
          <w:kern w:val="0"/>
          <w:sz w:val="21"/>
          <w:szCs w:val="21"/>
          <w:lang w:val="en-US" w:eastAsia="zh-CN"/>
        </w:rPr>
        <w:t>（1）、</w:t>
      </w:r>
      <w:r>
        <w:rPr>
          <w:rFonts w:hint="default" w:ascii="宋体" w:hAnsi="宋体" w:eastAsia="宋体" w:cs="宋体"/>
          <w:b w:val="0"/>
          <w:bCs w:val="0"/>
          <w:snapToGrid w:val="0"/>
          <w:color w:val="000000"/>
          <w:kern w:val="0"/>
          <w:sz w:val="21"/>
          <w:szCs w:val="21"/>
          <w:lang w:val="en-US" w:eastAsia="zh-CN"/>
        </w:rPr>
        <w:t>合同签订后10个工作日内，支付合同总金额的</w:t>
      </w:r>
      <w:r>
        <w:rPr>
          <w:rFonts w:hint="eastAsia" w:ascii="宋体" w:hAnsi="宋体" w:eastAsia="宋体" w:cs="宋体"/>
          <w:b w:val="0"/>
          <w:bCs w:val="0"/>
          <w:snapToGrid w:val="0"/>
          <w:color w:val="000000"/>
          <w:kern w:val="0"/>
          <w:sz w:val="21"/>
          <w:szCs w:val="21"/>
          <w:lang w:val="en-US" w:eastAsia="zh-CN"/>
        </w:rPr>
        <w:t>15</w:t>
      </w:r>
      <w:r>
        <w:rPr>
          <w:rFonts w:hint="default" w:ascii="宋体" w:hAnsi="宋体" w:eastAsia="宋体" w:cs="宋体"/>
          <w:b w:val="0"/>
          <w:bCs w:val="0"/>
          <w:snapToGrid w:val="0"/>
          <w:color w:val="000000"/>
          <w:kern w:val="0"/>
          <w:sz w:val="21"/>
          <w:szCs w:val="21"/>
          <w:lang w:val="en-US" w:eastAsia="zh-CN"/>
        </w:rPr>
        <w:t>.0%</w:t>
      </w:r>
      <w:r>
        <w:rPr>
          <w:rFonts w:hint="eastAsia" w:ascii="宋体" w:hAnsi="宋体" w:eastAsia="宋体" w:cs="宋体"/>
          <w:b w:val="0"/>
          <w:bCs w:val="0"/>
          <w:snapToGrid w:val="0"/>
          <w:color w:val="000000"/>
          <w:kern w:val="0"/>
          <w:sz w:val="21"/>
          <w:szCs w:val="21"/>
          <w:lang w:val="en-US" w:eastAsia="zh-CN"/>
        </w:rPr>
        <w:t>；</w:t>
      </w:r>
    </w:p>
    <w:p w14:paraId="5144C467">
      <w:pPr>
        <w:pStyle w:val="14"/>
        <w:ind w:firstLine="420" w:firstLineChars="200"/>
        <w:rPr>
          <w:rFonts w:hint="default" w:ascii="宋体" w:hAnsi="宋体" w:eastAsia="宋体" w:cs="宋体"/>
          <w:b w:val="0"/>
          <w:bCs w:val="0"/>
          <w:snapToGrid w:val="0"/>
          <w:color w:val="000000"/>
          <w:kern w:val="0"/>
          <w:sz w:val="21"/>
          <w:szCs w:val="21"/>
          <w:lang w:val="en-US" w:eastAsia="zh-CN"/>
        </w:rPr>
      </w:pPr>
      <w:r>
        <w:rPr>
          <w:rFonts w:hint="eastAsia" w:ascii="宋体" w:hAnsi="宋体" w:eastAsia="宋体" w:cs="宋体"/>
          <w:b w:val="0"/>
          <w:bCs w:val="0"/>
          <w:snapToGrid w:val="0"/>
          <w:color w:val="000000"/>
          <w:kern w:val="0"/>
          <w:sz w:val="21"/>
          <w:szCs w:val="21"/>
          <w:lang w:val="en-US" w:eastAsia="zh-CN"/>
        </w:rPr>
        <w:t>（2）</w:t>
      </w:r>
      <w:r>
        <w:rPr>
          <w:rFonts w:hint="default" w:ascii="宋体" w:hAnsi="宋体" w:eastAsia="宋体" w:cs="宋体"/>
          <w:b w:val="0"/>
          <w:bCs w:val="0"/>
          <w:snapToGrid w:val="0"/>
          <w:color w:val="000000"/>
          <w:kern w:val="0"/>
          <w:sz w:val="21"/>
          <w:szCs w:val="21"/>
          <w:lang w:val="en-US" w:eastAsia="zh-CN"/>
        </w:rPr>
        <w:t>、</w:t>
      </w:r>
      <w:r>
        <w:rPr>
          <w:rFonts w:hint="eastAsia" w:ascii="宋体" w:hAnsi="宋体" w:eastAsia="宋体" w:cs="宋体"/>
          <w:b w:val="0"/>
          <w:bCs w:val="0"/>
          <w:snapToGrid w:val="0"/>
          <w:color w:val="000000"/>
          <w:kern w:val="0"/>
          <w:sz w:val="21"/>
          <w:szCs w:val="21"/>
          <w:lang w:val="en-US" w:eastAsia="zh-CN"/>
        </w:rPr>
        <w:t>方案设计</w:t>
      </w:r>
      <w:r>
        <w:rPr>
          <w:rFonts w:hint="default" w:ascii="宋体" w:hAnsi="宋体" w:eastAsia="宋体" w:cs="宋体"/>
          <w:b w:val="0"/>
          <w:bCs w:val="0"/>
          <w:snapToGrid w:val="0"/>
          <w:color w:val="000000"/>
          <w:kern w:val="0"/>
          <w:sz w:val="21"/>
          <w:szCs w:val="21"/>
          <w:lang w:val="en-US" w:eastAsia="zh-CN"/>
        </w:rPr>
        <w:t>文件提交后</w:t>
      </w:r>
      <w:r>
        <w:rPr>
          <w:rFonts w:hint="eastAsia" w:ascii="宋体" w:hAnsi="宋体" w:eastAsia="宋体" w:cs="宋体"/>
          <w:b w:val="0"/>
          <w:bCs w:val="0"/>
          <w:snapToGrid w:val="0"/>
          <w:color w:val="000000"/>
          <w:kern w:val="0"/>
          <w:sz w:val="21"/>
          <w:szCs w:val="21"/>
          <w:lang w:val="en-US" w:eastAsia="zh-CN"/>
        </w:rPr>
        <w:t>并经甲方确认后</w:t>
      </w:r>
      <w:r>
        <w:rPr>
          <w:rFonts w:hint="default" w:ascii="宋体" w:hAnsi="宋体" w:eastAsia="宋体" w:cs="宋体"/>
          <w:b w:val="0"/>
          <w:bCs w:val="0"/>
          <w:snapToGrid w:val="0"/>
          <w:color w:val="000000"/>
          <w:kern w:val="0"/>
          <w:sz w:val="21"/>
          <w:szCs w:val="21"/>
          <w:lang w:val="en-US" w:eastAsia="zh-CN"/>
        </w:rPr>
        <w:t>10个工作日内，支付</w:t>
      </w:r>
      <w:r>
        <w:rPr>
          <w:rFonts w:hint="eastAsia" w:ascii="宋体" w:hAnsi="宋体" w:eastAsia="宋体" w:cs="宋体"/>
          <w:b w:val="0"/>
          <w:bCs w:val="0"/>
          <w:snapToGrid w:val="0"/>
          <w:color w:val="000000"/>
          <w:kern w:val="0"/>
          <w:sz w:val="21"/>
          <w:szCs w:val="21"/>
          <w:lang w:val="en-US" w:eastAsia="zh-CN"/>
        </w:rPr>
        <w:t>至</w:t>
      </w:r>
      <w:r>
        <w:rPr>
          <w:rFonts w:hint="default" w:ascii="宋体" w:hAnsi="宋体" w:eastAsia="宋体" w:cs="宋体"/>
          <w:b w:val="0"/>
          <w:bCs w:val="0"/>
          <w:snapToGrid w:val="0"/>
          <w:color w:val="000000"/>
          <w:kern w:val="0"/>
          <w:sz w:val="21"/>
          <w:szCs w:val="21"/>
          <w:lang w:val="en-US" w:eastAsia="zh-CN"/>
        </w:rPr>
        <w:t>合同总金额的</w:t>
      </w:r>
      <w:r>
        <w:rPr>
          <w:rFonts w:hint="eastAsia" w:ascii="宋体" w:hAnsi="宋体" w:eastAsia="宋体" w:cs="宋体"/>
          <w:b w:val="0"/>
          <w:bCs w:val="0"/>
          <w:snapToGrid w:val="0"/>
          <w:color w:val="000000"/>
          <w:kern w:val="0"/>
          <w:sz w:val="21"/>
          <w:szCs w:val="21"/>
          <w:lang w:val="en-US" w:eastAsia="zh-CN"/>
        </w:rPr>
        <w:t>35</w:t>
      </w:r>
      <w:r>
        <w:rPr>
          <w:rFonts w:hint="default" w:ascii="宋体" w:hAnsi="宋体" w:eastAsia="宋体" w:cs="宋体"/>
          <w:b w:val="0"/>
          <w:bCs w:val="0"/>
          <w:snapToGrid w:val="0"/>
          <w:color w:val="000000"/>
          <w:kern w:val="0"/>
          <w:sz w:val="21"/>
          <w:szCs w:val="21"/>
          <w:lang w:val="en-US" w:eastAsia="zh-CN"/>
        </w:rPr>
        <w:t>.0%</w:t>
      </w:r>
      <w:r>
        <w:rPr>
          <w:rFonts w:hint="eastAsia" w:ascii="宋体" w:hAnsi="宋体" w:eastAsia="宋体" w:cs="宋体"/>
          <w:b w:val="0"/>
          <w:bCs w:val="0"/>
          <w:snapToGrid w:val="0"/>
          <w:color w:val="000000"/>
          <w:kern w:val="0"/>
          <w:sz w:val="21"/>
          <w:szCs w:val="21"/>
          <w:lang w:val="en-US" w:eastAsia="zh-CN"/>
        </w:rPr>
        <w:t>；</w:t>
      </w:r>
    </w:p>
    <w:p w14:paraId="3E941706">
      <w:pPr>
        <w:pStyle w:val="14"/>
        <w:ind w:firstLine="420" w:firstLineChars="200"/>
        <w:rPr>
          <w:rFonts w:hint="eastAsia" w:ascii="宋体" w:hAnsi="宋体" w:eastAsia="宋体" w:cs="宋体"/>
          <w:b w:val="0"/>
          <w:bCs w:val="0"/>
          <w:snapToGrid w:val="0"/>
          <w:color w:val="000000"/>
          <w:kern w:val="0"/>
          <w:sz w:val="21"/>
          <w:szCs w:val="21"/>
          <w:lang w:val="en-US" w:eastAsia="zh-CN"/>
        </w:rPr>
      </w:pPr>
      <w:r>
        <w:rPr>
          <w:rFonts w:hint="eastAsia" w:ascii="宋体" w:hAnsi="宋体" w:eastAsia="宋体" w:cs="宋体"/>
          <w:b w:val="0"/>
          <w:bCs w:val="0"/>
          <w:snapToGrid w:val="0"/>
          <w:color w:val="000000"/>
          <w:kern w:val="0"/>
          <w:sz w:val="21"/>
          <w:szCs w:val="21"/>
          <w:lang w:val="en-US" w:eastAsia="zh-CN"/>
        </w:rPr>
        <w:t>（3）</w:t>
      </w:r>
      <w:r>
        <w:rPr>
          <w:rFonts w:hint="default" w:ascii="宋体" w:hAnsi="宋体" w:eastAsia="宋体" w:cs="宋体"/>
          <w:b w:val="0"/>
          <w:bCs w:val="0"/>
          <w:snapToGrid w:val="0"/>
          <w:color w:val="000000"/>
          <w:kern w:val="0"/>
          <w:sz w:val="21"/>
          <w:szCs w:val="21"/>
          <w:lang w:val="en-US" w:eastAsia="zh-CN"/>
        </w:rPr>
        <w:t>、</w:t>
      </w:r>
      <w:r>
        <w:rPr>
          <w:rFonts w:hint="eastAsia" w:ascii="宋体" w:hAnsi="宋体" w:eastAsia="宋体" w:cs="宋体"/>
          <w:b w:val="0"/>
          <w:bCs w:val="0"/>
          <w:snapToGrid w:val="0"/>
          <w:color w:val="000000"/>
          <w:kern w:val="0"/>
          <w:sz w:val="21"/>
          <w:szCs w:val="21"/>
          <w:lang w:val="en-US" w:eastAsia="zh-CN"/>
        </w:rPr>
        <w:t>扩初设计</w:t>
      </w:r>
      <w:r>
        <w:rPr>
          <w:rFonts w:hint="default" w:ascii="宋体" w:hAnsi="宋体" w:eastAsia="宋体" w:cs="宋体"/>
          <w:b w:val="0"/>
          <w:bCs w:val="0"/>
          <w:snapToGrid w:val="0"/>
          <w:color w:val="000000"/>
          <w:kern w:val="0"/>
          <w:sz w:val="21"/>
          <w:szCs w:val="21"/>
          <w:lang w:val="en-US" w:eastAsia="zh-CN"/>
        </w:rPr>
        <w:t>文件提交</w:t>
      </w:r>
      <w:r>
        <w:rPr>
          <w:rFonts w:hint="eastAsia" w:ascii="宋体" w:hAnsi="宋体" w:eastAsia="宋体" w:cs="宋体"/>
          <w:b w:val="0"/>
          <w:bCs w:val="0"/>
          <w:snapToGrid w:val="0"/>
          <w:color w:val="000000"/>
          <w:kern w:val="0"/>
          <w:sz w:val="21"/>
          <w:szCs w:val="21"/>
          <w:lang w:val="en-US" w:eastAsia="zh-CN"/>
        </w:rPr>
        <w:t>后</w:t>
      </w:r>
      <w:r>
        <w:rPr>
          <w:rFonts w:hint="default" w:ascii="宋体" w:hAnsi="宋体" w:eastAsia="宋体" w:cs="宋体"/>
          <w:b w:val="0"/>
          <w:bCs w:val="0"/>
          <w:snapToGrid w:val="0"/>
          <w:color w:val="000000"/>
          <w:kern w:val="0"/>
          <w:sz w:val="21"/>
          <w:szCs w:val="21"/>
          <w:lang w:val="en-US" w:eastAsia="zh-CN"/>
        </w:rPr>
        <w:t>10个工作日内，支付合同总金额的</w:t>
      </w:r>
      <w:r>
        <w:rPr>
          <w:rFonts w:hint="eastAsia" w:ascii="宋体" w:hAnsi="宋体" w:eastAsia="宋体" w:cs="宋体"/>
          <w:b w:val="0"/>
          <w:bCs w:val="0"/>
          <w:snapToGrid w:val="0"/>
          <w:color w:val="000000"/>
          <w:kern w:val="0"/>
          <w:sz w:val="21"/>
          <w:szCs w:val="21"/>
          <w:lang w:val="en-US" w:eastAsia="zh-CN"/>
        </w:rPr>
        <w:t>35</w:t>
      </w:r>
      <w:r>
        <w:rPr>
          <w:rFonts w:hint="default" w:ascii="宋体" w:hAnsi="宋体" w:eastAsia="宋体" w:cs="宋体"/>
          <w:b w:val="0"/>
          <w:bCs w:val="0"/>
          <w:snapToGrid w:val="0"/>
          <w:color w:val="000000"/>
          <w:kern w:val="0"/>
          <w:sz w:val="21"/>
          <w:szCs w:val="21"/>
          <w:lang w:val="en-US" w:eastAsia="zh-CN"/>
        </w:rPr>
        <w:t>.0%</w:t>
      </w:r>
      <w:r>
        <w:rPr>
          <w:rFonts w:hint="eastAsia" w:ascii="宋体" w:hAnsi="宋体" w:eastAsia="宋体" w:cs="宋体"/>
          <w:b w:val="0"/>
          <w:bCs w:val="0"/>
          <w:snapToGrid w:val="0"/>
          <w:color w:val="000000"/>
          <w:kern w:val="0"/>
          <w:sz w:val="21"/>
          <w:szCs w:val="21"/>
          <w:lang w:val="en-US" w:eastAsia="zh-CN"/>
        </w:rPr>
        <w:t>；</w:t>
      </w:r>
    </w:p>
    <w:p w14:paraId="5D3548DF">
      <w:pPr>
        <w:pStyle w:val="14"/>
        <w:ind w:firstLine="420" w:firstLineChars="200"/>
        <w:rPr>
          <w:rFonts w:hint="default" w:ascii="宋体" w:hAnsi="宋体" w:eastAsia="宋体" w:cs="宋体"/>
          <w:b w:val="0"/>
          <w:bCs w:val="0"/>
          <w:snapToGrid w:val="0"/>
          <w:color w:val="000000"/>
          <w:kern w:val="0"/>
          <w:sz w:val="21"/>
          <w:szCs w:val="21"/>
          <w:lang w:val="en-US" w:eastAsia="zh-CN"/>
        </w:rPr>
      </w:pPr>
      <w:r>
        <w:rPr>
          <w:rFonts w:hint="eastAsia" w:ascii="宋体" w:hAnsi="宋体" w:eastAsia="宋体" w:cs="宋体"/>
          <w:b w:val="0"/>
          <w:bCs w:val="0"/>
          <w:snapToGrid w:val="0"/>
          <w:color w:val="000000"/>
          <w:kern w:val="0"/>
          <w:sz w:val="21"/>
          <w:szCs w:val="21"/>
          <w:lang w:val="en-US" w:eastAsia="zh-CN"/>
        </w:rPr>
        <w:t>（4）、扩初设计</w:t>
      </w:r>
      <w:r>
        <w:rPr>
          <w:rFonts w:hint="default" w:ascii="宋体" w:hAnsi="宋体" w:eastAsia="宋体" w:cs="宋体"/>
          <w:b w:val="0"/>
          <w:bCs w:val="0"/>
          <w:snapToGrid w:val="0"/>
          <w:color w:val="000000"/>
          <w:kern w:val="0"/>
          <w:sz w:val="21"/>
          <w:szCs w:val="21"/>
          <w:lang w:val="en-US" w:eastAsia="zh-CN"/>
        </w:rPr>
        <w:t>文件</w:t>
      </w:r>
      <w:r>
        <w:rPr>
          <w:rFonts w:hint="eastAsia" w:ascii="宋体" w:hAnsi="宋体" w:eastAsia="宋体" w:cs="宋体"/>
          <w:b w:val="0"/>
          <w:bCs w:val="0"/>
          <w:snapToGrid w:val="0"/>
          <w:color w:val="000000"/>
          <w:kern w:val="0"/>
          <w:sz w:val="21"/>
          <w:szCs w:val="21"/>
          <w:lang w:val="en-US" w:eastAsia="zh-CN"/>
        </w:rPr>
        <w:t>通过甲方组织的扩初设计专家评审会后</w:t>
      </w:r>
      <w:r>
        <w:rPr>
          <w:rFonts w:hint="default" w:ascii="宋体" w:hAnsi="宋体" w:eastAsia="宋体" w:cs="宋体"/>
          <w:b w:val="0"/>
          <w:bCs w:val="0"/>
          <w:snapToGrid w:val="0"/>
          <w:color w:val="000000"/>
          <w:kern w:val="0"/>
          <w:sz w:val="21"/>
          <w:szCs w:val="21"/>
          <w:lang w:val="en-US" w:eastAsia="zh-CN"/>
        </w:rPr>
        <w:t>10个工作日内，支付合同总金额的1</w:t>
      </w:r>
      <w:r>
        <w:rPr>
          <w:rFonts w:hint="eastAsia" w:ascii="宋体" w:hAnsi="宋体" w:eastAsia="宋体" w:cs="宋体"/>
          <w:b w:val="0"/>
          <w:bCs w:val="0"/>
          <w:snapToGrid w:val="0"/>
          <w:color w:val="000000"/>
          <w:kern w:val="0"/>
          <w:sz w:val="21"/>
          <w:szCs w:val="21"/>
          <w:lang w:val="en-US" w:eastAsia="zh-CN"/>
        </w:rPr>
        <w:t>5</w:t>
      </w:r>
      <w:r>
        <w:rPr>
          <w:rFonts w:hint="default" w:ascii="宋体" w:hAnsi="宋体" w:eastAsia="宋体" w:cs="宋体"/>
          <w:b w:val="0"/>
          <w:bCs w:val="0"/>
          <w:snapToGrid w:val="0"/>
          <w:color w:val="000000"/>
          <w:kern w:val="0"/>
          <w:sz w:val="21"/>
          <w:szCs w:val="21"/>
          <w:lang w:val="en-US" w:eastAsia="zh-CN"/>
        </w:rPr>
        <w:t>.0%</w:t>
      </w:r>
      <w:r>
        <w:rPr>
          <w:rFonts w:hint="eastAsia" w:ascii="宋体" w:hAnsi="宋体" w:eastAsia="宋体" w:cs="宋体"/>
          <w:b w:val="0"/>
          <w:bCs w:val="0"/>
          <w:snapToGrid w:val="0"/>
          <w:color w:val="000000"/>
          <w:kern w:val="0"/>
          <w:sz w:val="21"/>
          <w:szCs w:val="21"/>
          <w:lang w:val="en-US" w:eastAsia="zh-CN"/>
        </w:rPr>
        <w:t>。</w:t>
      </w:r>
    </w:p>
    <w:p w14:paraId="6B6EF2A7">
      <w:pPr>
        <w:keepNext w:val="0"/>
        <w:keepLines w:val="0"/>
        <w:pageBreakBefore w:val="0"/>
        <w:widowControl/>
        <w:kinsoku w:val="0"/>
        <w:wordWrap/>
        <w:overflowPunct/>
        <w:topLinePunct w:val="0"/>
        <w:autoSpaceDE w:val="0"/>
        <w:autoSpaceDN w:val="0"/>
        <w:bidi w:val="0"/>
        <w:adjustRightInd w:val="0"/>
        <w:snapToGrid w:val="0"/>
        <w:spacing w:line="500" w:lineRule="exact"/>
        <w:ind w:firstLine="482" w:firstLineChars="200"/>
        <w:textAlignment w:val="baseline"/>
        <w:rPr>
          <w:rFonts w:hint="eastAsia" w:ascii="宋体" w:hAnsi="宋体" w:eastAsia="宋体" w:cs="宋体"/>
          <w:b/>
          <w:bCs/>
          <w:sz w:val="24"/>
          <w:szCs w:val="24"/>
          <w:u w:val="none"/>
        </w:rPr>
      </w:pPr>
      <w:bookmarkStart w:id="0" w:name="_GoBack"/>
      <w:bookmarkEnd w:id="0"/>
      <w:r>
        <w:rPr>
          <w:rFonts w:hint="eastAsia" w:ascii="宋体" w:hAnsi="宋体" w:eastAsia="宋体" w:cs="宋体"/>
          <w:b/>
          <w:bCs/>
          <w:sz w:val="24"/>
          <w:szCs w:val="24"/>
          <w:u w:val="none"/>
          <w:lang w:val="en-US" w:eastAsia="zh-CN"/>
        </w:rPr>
        <w:t>七</w:t>
      </w:r>
      <w:r>
        <w:rPr>
          <w:rFonts w:hint="eastAsia" w:ascii="宋体" w:hAnsi="宋体" w:eastAsia="宋体" w:cs="宋体"/>
          <w:b/>
          <w:bCs/>
          <w:sz w:val="24"/>
          <w:szCs w:val="24"/>
          <w:u w:val="none"/>
        </w:rPr>
        <w:t>、 其他</w:t>
      </w:r>
    </w:p>
    <w:p w14:paraId="34DDEC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mc:AlternateContent>
          <mc:Choice Requires="wps">
            <w:drawing>
              <wp:anchor distT="0" distB="0" distL="114300" distR="114300" simplePos="0" relativeHeight="251664384" behindDoc="0" locked="0" layoutInCell="1" allowOverlap="1">
                <wp:simplePos x="0" y="0"/>
                <wp:positionH relativeFrom="column">
                  <wp:posOffset>-67945</wp:posOffset>
                </wp:positionH>
                <wp:positionV relativeFrom="paragraph">
                  <wp:posOffset>77470</wp:posOffset>
                </wp:positionV>
                <wp:extent cx="6042660" cy="10795"/>
                <wp:effectExtent l="33655" t="26670" r="38735" b="76835"/>
                <wp:wrapNone/>
                <wp:docPr id="9" name="直接连接符 9"/>
                <wp:cNvGraphicFramePr/>
                <a:graphic xmlns:a="http://schemas.openxmlformats.org/drawingml/2006/main">
                  <a:graphicData uri="http://schemas.microsoft.com/office/word/2010/wordprocessingShape">
                    <wps:wsp>
                      <wps:cNvCnPr/>
                      <wps:spPr>
                        <a:xfrm>
                          <a:off x="0" y="0"/>
                          <a:ext cx="6042660" cy="1079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_x0000_s1026" o:spid="_x0000_s1026" o:spt="20" style="position:absolute;left:0pt;margin-left:-5.35pt;margin-top:6.1pt;height:0.85pt;width:475.8pt;z-index:251664384;mso-width-relative:page;mso-height-relative:page;" filled="f" stroked="t" coordsize="21600,21600" o:gfxdata="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PE9Q+vbAAAACQEAAA8AAAAAAAAAAQAgAAAAIgAAAGRycy9kb3ducmV2LnhtbFBLAQIUABQAAAAI&#10;AIdO4kAuhs7KIwIAAEsEAAAOAAAAAAAAAAEAIAAAACoBAABkcnMvZTJvRG9jLnhtbFBLBQYAAAAA&#10;BgAGAFkBAAC/BQAAAAA=&#10;">
                <v:fill on="f" focussize="0,0"/>
                <v:stroke weight="2pt" color="#000000 [3200]" joinstyle="round"/>
                <v:imagedata o:title=""/>
                <o:lock v:ext="edit" aspectratio="f"/>
                <v:shadow on="t" color="#000000" opacity="24903f" offset="0pt,1.5748031496063pt" origin="0f,32768f" matrix="65536f,0f,0f,65536f"/>
              </v:line>
            </w:pict>
          </mc:Fallback>
        </mc:AlternateContent>
      </w:r>
      <w:r>
        <w:rPr>
          <w:rFonts w:hint="eastAsia" w:ascii="宋体" w:hAnsi="宋体" w:eastAsia="宋体" w:cs="宋体"/>
          <w:b w:val="0"/>
          <w:bCs w:val="0"/>
          <w:sz w:val="21"/>
          <w:szCs w:val="21"/>
          <w:lang w:val="en-US" w:eastAsia="zh-CN"/>
        </w:rPr>
        <w:t>1.成果要求：供应商应向采购⼈提供⽅案册、扩初⽂件及图纸各8套。</w:t>
      </w:r>
    </w:p>
    <w:p w14:paraId="11A93A6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2.其它未尽事宜由采购人与成交供应商在采购合同中约定。</w:t>
      </w:r>
    </w:p>
    <w:p w14:paraId="06D592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Chars="0"/>
        <w:textAlignment w:val="baseline"/>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3.设计标准或规范：符合国家及行业现行设计规范要求标准。</w:t>
      </w:r>
    </w:p>
    <w:p w14:paraId="5349C68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Chars="0"/>
        <w:textAlignment w:val="baseline"/>
        <w:rPr>
          <w:rFonts w:hint="default" w:ascii="仿宋_GB2312" w:hAnsi="仿宋_GB2312" w:eastAsia="仿宋_GB2312" w:cs="仿宋_GB2312"/>
          <w:sz w:val="21"/>
          <w:lang w:val="en-US" w:eastAsia="zh-CN"/>
        </w:rPr>
      </w:pPr>
    </w:p>
    <w:p w14:paraId="6A4DA846">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宋体" w:hAnsi="宋体" w:eastAsia="宋体" w:cs="宋体"/>
          <w:b/>
          <w:bCs/>
          <w:sz w:val="24"/>
          <w:szCs w:val="24"/>
          <w:lang w:val="en-US" w:eastAsia="zh-CN"/>
        </w:rPr>
      </w:pPr>
    </w:p>
    <w:sectPr>
      <w:pgSz w:w="12800" w:h="2276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8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ingsoft UE">
    <w:panose1 w:val="02000100010000000000"/>
    <w:charset w:val="00"/>
    <w:family w:val="auto"/>
    <w:pitch w:val="default"/>
    <w:sig w:usb0="00000001" w:usb1="00004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C0A6DC"/>
    <w:multiLevelType w:val="singleLevel"/>
    <w:tmpl w:val="CCC0A6DC"/>
    <w:lvl w:ilvl="0" w:tentative="0">
      <w:start w:val="1"/>
      <w:numFmt w:val="decimal"/>
      <w:lvlText w:val="%1."/>
      <w:lvlJc w:val="left"/>
      <w:pPr>
        <w:ind w:left="425" w:hanging="425"/>
      </w:pPr>
      <w:rPr>
        <w:rFonts w:hint="default"/>
      </w:rPr>
    </w:lvl>
  </w:abstractNum>
  <w:abstractNum w:abstractNumId="1">
    <w:nsid w:val="0D1243EC"/>
    <w:multiLevelType w:val="singleLevel"/>
    <w:tmpl w:val="0D1243EC"/>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DAwZDdhMDQ5NTUxYzA3ZTY4MzU2MmUwN2FmMzQyZjYifQ=="/>
  </w:docVars>
  <w:rsids>
    <w:rsidRoot w:val="00000000"/>
    <w:rsid w:val="00C51757"/>
    <w:rsid w:val="05472BD1"/>
    <w:rsid w:val="05946D18"/>
    <w:rsid w:val="064C13A1"/>
    <w:rsid w:val="08FF530A"/>
    <w:rsid w:val="09150B4E"/>
    <w:rsid w:val="09951B2A"/>
    <w:rsid w:val="09EC7123"/>
    <w:rsid w:val="0AAE262A"/>
    <w:rsid w:val="0AB03F9D"/>
    <w:rsid w:val="0AB05EE0"/>
    <w:rsid w:val="0B372620"/>
    <w:rsid w:val="0B55164D"/>
    <w:rsid w:val="0CA912FB"/>
    <w:rsid w:val="0E601E8E"/>
    <w:rsid w:val="0E807E3A"/>
    <w:rsid w:val="0E8C581F"/>
    <w:rsid w:val="0EFF357D"/>
    <w:rsid w:val="101B058E"/>
    <w:rsid w:val="12BE53D5"/>
    <w:rsid w:val="148448D2"/>
    <w:rsid w:val="15B50D11"/>
    <w:rsid w:val="15E82B02"/>
    <w:rsid w:val="1A11228E"/>
    <w:rsid w:val="1D2D3883"/>
    <w:rsid w:val="1D9E652E"/>
    <w:rsid w:val="1E4946EC"/>
    <w:rsid w:val="1FDC333E"/>
    <w:rsid w:val="20D21C38"/>
    <w:rsid w:val="22274D44"/>
    <w:rsid w:val="23583F18"/>
    <w:rsid w:val="260B672B"/>
    <w:rsid w:val="27770CF9"/>
    <w:rsid w:val="27905093"/>
    <w:rsid w:val="28E868B0"/>
    <w:rsid w:val="2A622565"/>
    <w:rsid w:val="2AF67DCA"/>
    <w:rsid w:val="2BE72E92"/>
    <w:rsid w:val="2CAE3985"/>
    <w:rsid w:val="2CF47F19"/>
    <w:rsid w:val="2F9527C5"/>
    <w:rsid w:val="30234671"/>
    <w:rsid w:val="33DC53D0"/>
    <w:rsid w:val="34335F4F"/>
    <w:rsid w:val="34F767F8"/>
    <w:rsid w:val="37384EA6"/>
    <w:rsid w:val="37C8447C"/>
    <w:rsid w:val="386C3059"/>
    <w:rsid w:val="38913AD5"/>
    <w:rsid w:val="39137979"/>
    <w:rsid w:val="3A127C30"/>
    <w:rsid w:val="3D8449A1"/>
    <w:rsid w:val="3DA23079"/>
    <w:rsid w:val="3FCE45FA"/>
    <w:rsid w:val="40B76A1A"/>
    <w:rsid w:val="40C70177"/>
    <w:rsid w:val="4129759A"/>
    <w:rsid w:val="41943621"/>
    <w:rsid w:val="41C77552"/>
    <w:rsid w:val="42CE66BF"/>
    <w:rsid w:val="430D71E7"/>
    <w:rsid w:val="431677A3"/>
    <w:rsid w:val="442A44B3"/>
    <w:rsid w:val="46603AD2"/>
    <w:rsid w:val="48DA5DBD"/>
    <w:rsid w:val="4933371F"/>
    <w:rsid w:val="493C6A78"/>
    <w:rsid w:val="49F20EE5"/>
    <w:rsid w:val="4ADE58B1"/>
    <w:rsid w:val="4B6C4CC7"/>
    <w:rsid w:val="4BD765E4"/>
    <w:rsid w:val="4C5B0FC3"/>
    <w:rsid w:val="4C7B78B7"/>
    <w:rsid w:val="4F073684"/>
    <w:rsid w:val="4F9842DC"/>
    <w:rsid w:val="4FB51F83"/>
    <w:rsid w:val="50D8235D"/>
    <w:rsid w:val="51450494"/>
    <w:rsid w:val="521C7446"/>
    <w:rsid w:val="538F11DC"/>
    <w:rsid w:val="53D92BF4"/>
    <w:rsid w:val="541F712F"/>
    <w:rsid w:val="54776BAB"/>
    <w:rsid w:val="55853555"/>
    <w:rsid w:val="57C71C02"/>
    <w:rsid w:val="5ADF54B5"/>
    <w:rsid w:val="5B0F5D9A"/>
    <w:rsid w:val="5B2E3D47"/>
    <w:rsid w:val="5B590DC3"/>
    <w:rsid w:val="5BB24978"/>
    <w:rsid w:val="5BB71405"/>
    <w:rsid w:val="5BF64864"/>
    <w:rsid w:val="5C983780"/>
    <w:rsid w:val="5DC7295C"/>
    <w:rsid w:val="5E844F67"/>
    <w:rsid w:val="5EEB267A"/>
    <w:rsid w:val="5F345BA0"/>
    <w:rsid w:val="617050B9"/>
    <w:rsid w:val="618648DC"/>
    <w:rsid w:val="62F7576C"/>
    <w:rsid w:val="62FF4946"/>
    <w:rsid w:val="63860BC4"/>
    <w:rsid w:val="65CC7770"/>
    <w:rsid w:val="65F7735F"/>
    <w:rsid w:val="67C47F0C"/>
    <w:rsid w:val="68354966"/>
    <w:rsid w:val="69F43222"/>
    <w:rsid w:val="6AB26742"/>
    <w:rsid w:val="6ADA35A3"/>
    <w:rsid w:val="6C5A0E3F"/>
    <w:rsid w:val="6C6C46CF"/>
    <w:rsid w:val="6D196083"/>
    <w:rsid w:val="6DC94A86"/>
    <w:rsid w:val="6E3D27C7"/>
    <w:rsid w:val="707149AA"/>
    <w:rsid w:val="71F10DC5"/>
    <w:rsid w:val="72587BCF"/>
    <w:rsid w:val="74C257D4"/>
    <w:rsid w:val="796A162F"/>
    <w:rsid w:val="79EB1771"/>
    <w:rsid w:val="7A5E1AFB"/>
    <w:rsid w:val="7D083FA0"/>
    <w:rsid w:val="7E463DFD"/>
    <w:rsid w:val="7F6769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24"/>
      <w:szCs w:val="24"/>
      <w:lang w:val="en-US" w:eastAsia="en-US" w:bidi="ar-SA"/>
    </w:rPr>
  </w:style>
  <w:style w:type="paragraph" w:styleId="4">
    <w:name w:val="Plain Text"/>
    <w:basedOn w:val="1"/>
    <w:qFormat/>
    <w:uiPriority w:val="0"/>
    <w:rPr>
      <w:rFonts w:ascii="宋体" w:hAnsi="Courier New"/>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paragraph" w:customStyle="1" w:styleId="11">
    <w:name w:val="Default"/>
    <w:qFormat/>
    <w:uiPriority w:val="0"/>
    <w:pPr>
      <w:widowControl w:val="0"/>
      <w:autoSpaceDE w:val="0"/>
      <w:autoSpaceDN w:val="0"/>
      <w:adjustRightInd w:val="0"/>
    </w:pPr>
    <w:rPr>
      <w:rFonts w:ascii="楷体_GB2312" w:hAnsi="Times New Roman" w:eastAsia="楷体_GB2312" w:cs="楷体_GB2312"/>
      <w:color w:val="000000"/>
      <w:sz w:val="24"/>
      <w:szCs w:val="24"/>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Words>2575</Words>
  <Characters>2743</Characters>
  <TotalTime>14</TotalTime>
  <ScaleCrop>false</ScaleCrop>
  <LinksUpToDate>false</LinksUpToDate>
  <CharactersWithSpaces>2865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2023-02-06T17:27:00Z</dcterms:created>
  <dc:creator>Kingsoft-PDF</dc:creator>
  <cp:lastModifiedBy>WPS_1640399546</cp:lastModifiedBy>
  <dcterms:modified xsi:type="dcterms:W3CDTF">2026-10-12T06:16:32Z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2023-02-06T17:27:27Z</vt:filetime>
  </property>
  <property fmtid="{D5CDD505-2E9C-101B-9397-08002B2CF9AE}" pid="4" name="UsrData">
    <vt:lpwstr>63e0c7f90c8b2900152696c8</vt:lpwstr>
  </property>
  <property fmtid="{D5CDD505-2E9C-101B-9397-08002B2CF9AE}" pid="5" name="KSOProductBuildVer">
    <vt:lpwstr>2052-12.1.0.28505</vt:lpwstr>
  </property>
  <property fmtid="{D5CDD505-2E9C-101B-9397-08002B2CF9AE}" pid="6" name="ICV">
    <vt:lpwstr>079C9975866F438F920046BD68E2B230_13</vt:lpwstr>
  </property>
  <property fmtid="{D5CDD505-2E9C-101B-9397-08002B2CF9AE}" pid="7" name="KSOTemplateDocerSaveRecord">
    <vt:lpwstr>eyJoZGlkIjoiZjA4YmMzYmQ5NjJjYjBlODBiZTRmZTM1NzIwY2FiZGUiLCJ1c2VySWQiOiIxMzA1MzY2MDQwIn0=</vt:lpwstr>
  </property>
</Properties>
</file>