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3F794">
      <w:pPr>
        <w:adjustRightInd w:val="0"/>
        <w:snapToGrid w:val="0"/>
        <w:ind w:firstLine="0" w:firstLineChars="0"/>
        <w:jc w:val="center"/>
        <w:textAlignment w:val="baseline"/>
        <w:rPr>
          <w:rFonts w:hint="eastAsia" w:asciiTheme="majorEastAsia" w:hAnsiTheme="majorEastAsia" w:eastAsiaTheme="majorEastAsia" w:cstheme="majorEastAsia"/>
          <w:b/>
          <w:sz w:val="36"/>
          <w:szCs w:val="36"/>
        </w:rPr>
      </w:pPr>
      <w:r>
        <w:rPr>
          <w:rFonts w:hint="eastAsia" w:asciiTheme="majorEastAsia" w:hAnsiTheme="majorEastAsia" w:eastAsiaTheme="majorEastAsia" w:cstheme="majorEastAsia"/>
          <w:b/>
          <w:sz w:val="36"/>
          <w:szCs w:val="36"/>
        </w:rPr>
        <w:t>富平县石川河流域梅家坪镇段沿河废弃砂坑</w:t>
      </w:r>
    </w:p>
    <w:p w14:paraId="305BF6ED">
      <w:pPr>
        <w:jc w:val="center"/>
        <w:rPr>
          <w:rFonts w:hint="eastAsia" w:asciiTheme="majorEastAsia" w:hAnsiTheme="majorEastAsia" w:eastAsiaTheme="majorEastAsia" w:cstheme="majorEastAsia"/>
          <w:b/>
          <w:sz w:val="36"/>
          <w:szCs w:val="36"/>
          <w:lang w:val="en-US" w:eastAsia="zh-CN"/>
        </w:rPr>
      </w:pPr>
      <w:r>
        <w:rPr>
          <w:rFonts w:hint="eastAsia" w:asciiTheme="majorEastAsia" w:hAnsiTheme="majorEastAsia" w:eastAsiaTheme="majorEastAsia" w:cstheme="majorEastAsia"/>
          <w:b/>
          <w:sz w:val="36"/>
          <w:szCs w:val="36"/>
        </w:rPr>
        <w:t>生态修复项目</w:t>
      </w:r>
      <w:r>
        <w:rPr>
          <w:rFonts w:hint="eastAsia" w:asciiTheme="majorEastAsia" w:hAnsiTheme="majorEastAsia" w:eastAsiaTheme="majorEastAsia" w:cstheme="majorEastAsia"/>
          <w:b/>
          <w:sz w:val="36"/>
          <w:szCs w:val="36"/>
          <w:lang w:val="en-US" w:eastAsia="zh-CN"/>
        </w:rPr>
        <w:t>清单编制说明</w:t>
      </w:r>
    </w:p>
    <w:p w14:paraId="2A8EE336">
      <w:pPr>
        <w:pStyle w:val="5"/>
        <w:rPr>
          <w:rFonts w:hint="default"/>
          <w:lang w:val="en-US" w:eastAsia="zh-CN"/>
        </w:rPr>
      </w:pPr>
    </w:p>
    <w:p w14:paraId="11B35609">
      <w:pPr>
        <w:pStyle w:val="5"/>
        <w:numPr>
          <w:ilvl w:val="0"/>
          <w:numId w:val="1"/>
        </w:numPr>
        <w:rPr>
          <w:rFonts w:hint="eastAsia"/>
          <w:lang w:val="en-US" w:eastAsia="zh-CN"/>
        </w:rPr>
      </w:pPr>
      <w:r>
        <w:rPr>
          <w:rFonts w:hint="eastAsia"/>
          <w:lang w:val="en-US" w:eastAsia="zh-CN"/>
        </w:rPr>
        <w:t>工程概况</w:t>
      </w:r>
    </w:p>
    <w:p w14:paraId="294082C7">
      <w:pPr>
        <w:pStyle w:val="5"/>
        <w:numPr>
          <w:ilvl w:val="0"/>
          <w:numId w:val="0"/>
        </w:numPr>
        <w:ind w:firstLine="560" w:firstLineChars="200"/>
        <w:rPr>
          <w:rFonts w:hint="default"/>
          <w:lang w:val="en-US" w:eastAsia="zh-CN"/>
        </w:rPr>
      </w:pPr>
      <w:r>
        <w:rPr>
          <w:rFonts w:hint="default"/>
          <w:lang w:val="en-US" w:eastAsia="zh-CN"/>
        </w:rPr>
        <w:t>富平县石川河流域梅家坪镇段沿河废弃砂坑生态修复项目位于富平县梅家坪镇岔口村、庙沟村、洪水村、十八坊村、北杨村、文昌村等，包含废弃砂坑治理项目、生态廊道修复项目和农业空间生态保护修复项目。下发绩效情况为：废弃砂坑治理面积413亩、生态廊道修复长度7.8km、农业空间生态保护修复面积450亩；工程实施区域设计情况为：废弃砂坑治理面积425.85亩、生态廊道修复长度7.844km</w:t>
      </w:r>
    </w:p>
    <w:p w14:paraId="6C241F79">
      <w:pPr>
        <w:pStyle w:val="5"/>
        <w:numPr>
          <w:ilvl w:val="0"/>
          <w:numId w:val="0"/>
        </w:numPr>
        <w:rPr>
          <w:rFonts w:hint="eastAsia"/>
          <w:lang w:val="en-US" w:eastAsia="zh-CN"/>
        </w:rPr>
      </w:pPr>
      <w:r>
        <w:rPr>
          <w:rFonts w:hint="default"/>
          <w:lang w:val="en-US" w:eastAsia="zh-CN"/>
        </w:rPr>
        <w:t>、农业空间生态保护修复面积462.45亩。废弃砂坑治理项目主要建设内容包括：垃圾清运，杂草清理，土方内部平衡，覆土，田间碎石路，机耕路，灌溉渠，田埂，翻耕，培肥，种植国槐、白杨、大叶女贞、樱花、紫穗槐、连翘和爬山虎，养护和人工巡查监测等。生态廊道修复项目主要建设内容包括：垃圾清运、局部覆土、绿化工程（种植乔木、灌木、撒播草籽），乔木种类有白杨、国槐、樱花、雪松，灌木种类有小叶女贞和月季树，养护工程和监测工程。农业空间生态保护修复主要建设内容包括：垃圾清运、局部覆土、田埂、培肥、翻耕、生产道路和灌溉渠等。</w:t>
      </w:r>
    </w:p>
    <w:p w14:paraId="06477041">
      <w:pPr>
        <w:pStyle w:val="5"/>
        <w:numPr>
          <w:ilvl w:val="0"/>
          <w:numId w:val="1"/>
        </w:numPr>
        <w:ind w:left="0" w:leftChars="0" w:firstLine="560" w:firstLineChars="200"/>
        <w:rPr>
          <w:rFonts w:hint="default"/>
          <w:lang w:val="en-US" w:eastAsia="zh-CN"/>
        </w:rPr>
      </w:pPr>
      <w:r>
        <w:rPr>
          <w:rFonts w:hint="eastAsia"/>
          <w:lang w:val="en-US" w:eastAsia="zh-CN"/>
        </w:rPr>
        <w:t>编制依据</w:t>
      </w:r>
    </w:p>
    <w:p w14:paraId="2E01CC14">
      <w:pPr>
        <w:pStyle w:val="5"/>
        <w:numPr>
          <w:ilvl w:val="0"/>
          <w:numId w:val="0"/>
        </w:numPr>
        <w:ind w:firstLine="560" w:firstLineChars="200"/>
        <w:rPr>
          <w:rFonts w:hint="eastAsia"/>
          <w:lang w:val="en-US" w:eastAsia="zh-CN"/>
        </w:rPr>
      </w:pPr>
      <w:r>
        <w:rPr>
          <w:rFonts w:hint="default"/>
          <w:lang w:val="en-US" w:eastAsia="zh-CN"/>
        </w:rPr>
        <w:t>（</w:t>
      </w:r>
      <w:r>
        <w:rPr>
          <w:rFonts w:hint="eastAsia"/>
          <w:lang w:val="en-US" w:eastAsia="zh-CN"/>
        </w:rPr>
        <w:t>1</w:t>
      </w:r>
      <w:r>
        <w:rPr>
          <w:rFonts w:hint="default"/>
          <w:lang w:val="en-US" w:eastAsia="zh-CN"/>
        </w:rPr>
        <w:t>）富平县石川河流域梅家坪镇段沿河废弃砂坑生态修复项目施工图设计</w:t>
      </w:r>
      <w:r>
        <w:rPr>
          <w:rFonts w:hint="eastAsia"/>
          <w:lang w:val="en-US" w:eastAsia="zh-CN"/>
        </w:rPr>
        <w:t>。</w:t>
      </w:r>
    </w:p>
    <w:p w14:paraId="3034E5E9">
      <w:pPr>
        <w:pStyle w:val="5"/>
        <w:numPr>
          <w:ilvl w:val="0"/>
          <w:numId w:val="0"/>
        </w:numPr>
        <w:ind w:firstLine="560" w:firstLineChars="200"/>
        <w:rPr>
          <w:rFonts w:hint="default"/>
          <w:lang w:val="en-US" w:eastAsia="zh-CN"/>
        </w:rPr>
      </w:pPr>
      <w:r>
        <w:rPr>
          <w:rFonts w:hint="eastAsia"/>
          <w:lang w:val="en-US" w:eastAsia="zh-CN"/>
        </w:rPr>
        <w:t>（2）国家及陕西省颁发的有关法律、法规、法令、规范、规程、制度。</w:t>
      </w:r>
    </w:p>
    <w:p w14:paraId="38410ED0">
      <w:pPr>
        <w:pStyle w:val="5"/>
        <w:numPr>
          <w:ilvl w:val="0"/>
          <w:numId w:val="0"/>
        </w:numPr>
        <w:ind w:firstLine="560" w:firstLineChars="200"/>
        <w:rPr>
          <w:rFonts w:hint="eastAsia"/>
          <w:lang w:val="en-US" w:eastAsia="zh-CN"/>
        </w:rPr>
      </w:pPr>
      <w:r>
        <w:rPr>
          <w:rFonts w:hint="eastAsia"/>
          <w:lang w:val="en-US" w:eastAsia="zh-CN"/>
        </w:rPr>
        <w:t>三、其它</w:t>
      </w:r>
    </w:p>
    <w:p w14:paraId="4CB959F9">
      <w:pPr>
        <w:pStyle w:val="5"/>
        <w:numPr>
          <w:ilvl w:val="0"/>
          <w:numId w:val="0"/>
        </w:numPr>
        <w:ind w:firstLine="560" w:firstLineChars="200"/>
        <w:rPr>
          <w:rFonts w:hint="eastAsia"/>
          <w:lang w:val="en-US" w:eastAsia="zh-CN"/>
        </w:rPr>
      </w:pPr>
      <w:r>
        <w:rPr>
          <w:rFonts w:hint="eastAsia"/>
          <w:lang w:val="en-US" w:eastAsia="zh-CN"/>
        </w:rPr>
        <w:t>备用金（暂列金）按照3%计取。</w:t>
      </w:r>
    </w:p>
    <w:p w14:paraId="3B9CD8D2">
      <w:pPr>
        <w:adjustRightInd w:val="0"/>
        <w:snapToGrid w:val="0"/>
        <w:ind w:firstLine="0" w:firstLineChars="0"/>
        <w:jc w:val="both"/>
        <w:textAlignment w:val="baseline"/>
        <w:rPr>
          <w:rFonts w:hint="default" w:ascii="仿宋_GB2312" w:hAnsi="Times New Roman" w:eastAsia="仿宋_GB2312" w:cs="Times New Roman"/>
          <w:kern w:val="2"/>
          <w:sz w:val="28"/>
          <w:szCs w:val="24"/>
          <w:lang w:val="en-US" w:eastAsia="zh-CN" w:bidi="ar-SA"/>
        </w:rPr>
        <w:sectPr>
          <w:pgSz w:w="11906" w:h="16838"/>
          <w:pgMar w:top="1440" w:right="1800" w:bottom="1440" w:left="1800" w:header="851" w:footer="992" w:gutter="0"/>
          <w:cols w:space="425" w:num="1"/>
          <w:docGrid w:type="lines" w:linePitch="312" w:charSpace="0"/>
        </w:sectPr>
      </w:pPr>
    </w:p>
    <w:p w14:paraId="4083E805">
      <w:pPr>
        <w:jc w:val="center"/>
        <w:rPr>
          <w:rFonts w:hint="eastAsia" w:ascii="仿宋_GB2312" w:hAnsi="Times New Roman" w:eastAsia="仿宋_GB2312" w:cs="Times New Roman"/>
          <w:kern w:val="2"/>
          <w:sz w:val="28"/>
          <w:szCs w:val="24"/>
          <w:lang w:val="en-US" w:eastAsia="zh-CN" w:bidi="ar-SA"/>
        </w:rPr>
      </w:pPr>
      <w:r>
        <w:rPr>
          <w:rFonts w:hint="eastAsia" w:ascii="仿宋_GB2312" w:hAnsi="Times New Roman" w:eastAsia="仿宋_GB2312" w:cs="Times New Roman"/>
          <w:kern w:val="2"/>
          <w:sz w:val="28"/>
          <w:szCs w:val="24"/>
          <w:lang w:val="en-US" w:eastAsia="zh-CN" w:bidi="ar-SA"/>
        </w:rPr>
        <w:t>情况说明</w:t>
      </w:r>
    </w:p>
    <w:p w14:paraId="37E77B63">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eastAsia" w:ascii="仿宋_GB2312" w:hAnsi="Times New Roman" w:eastAsia="仿宋_GB2312" w:cs="Times New Roman"/>
          <w:kern w:val="2"/>
          <w:sz w:val="28"/>
          <w:szCs w:val="24"/>
          <w:lang w:val="en-US" w:eastAsia="zh-CN" w:bidi="ar-SA"/>
        </w:rPr>
      </w:pPr>
    </w:p>
    <w:p w14:paraId="3B17490E">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both"/>
        <w:textAlignment w:val="auto"/>
        <w:rPr>
          <w:rFonts w:hint="default" w:ascii="仿宋_GB2312" w:hAnsi="Times New Roman" w:eastAsia="仿宋_GB2312" w:cs="Times New Roman"/>
          <w:kern w:val="2"/>
          <w:sz w:val="28"/>
          <w:szCs w:val="24"/>
          <w:lang w:val="en-US" w:eastAsia="zh-CN" w:bidi="ar-SA"/>
        </w:rPr>
      </w:pPr>
      <w:r>
        <w:rPr>
          <w:rFonts w:hint="eastAsia" w:ascii="仿宋_GB2312" w:hAnsi="Times New Roman" w:eastAsia="仿宋_GB2312" w:cs="Times New Roman"/>
          <w:kern w:val="2"/>
          <w:sz w:val="28"/>
          <w:szCs w:val="24"/>
          <w:lang w:val="en-US" w:eastAsia="zh-CN" w:bidi="ar-SA"/>
        </w:rPr>
        <w:t>招标文件资格审查条件第(4)条项目经理条款第②款：“市政公用、建筑工程、水利水电工程专业二级及以上注册建造师”，条款内顿号此处表示选择关系（或），投标人拟派项目经理具备上述专业其中任意一个专业即可，无需同时具备全部专业。</w:t>
      </w:r>
    </w:p>
    <w:p w14:paraId="09DD1E05">
      <w:pPr>
        <w:pStyle w:val="5"/>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3BD9E8"/>
    <w:multiLevelType w:val="singleLevel"/>
    <w:tmpl w:val="C83BD9E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0B6D54"/>
    <w:rsid w:val="09D73863"/>
    <w:rsid w:val="3D4B5905"/>
    <w:rsid w:val="410B6D54"/>
    <w:rsid w:val="58A66998"/>
    <w:rsid w:val="6A2E7363"/>
    <w:rsid w:val="74185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spacing w:line="360" w:lineRule="auto"/>
      <w:ind w:firstLine="641" w:firstLineChars="200"/>
      <w:jc w:val="both"/>
    </w:pPr>
    <w:rPr>
      <w:rFonts w:hint="default" w:ascii="Times New Roman" w:hAnsi="Times New Roman" w:eastAsia="宋体" w:cs="Times New Roman"/>
      <w:kern w:val="2"/>
      <w:sz w:val="24"/>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1"/>
    <w:pPr>
      <w:ind w:left="120"/>
    </w:pPr>
    <w:rPr>
      <w:rFonts w:hint="default"/>
      <w:sz w:val="28"/>
      <w:szCs w:val="24"/>
    </w:rPr>
  </w:style>
  <w:style w:type="paragraph" w:styleId="3">
    <w:name w:val="Body Text Indent"/>
    <w:basedOn w:val="1"/>
    <w:unhideWhenUsed/>
    <w:qFormat/>
    <w:uiPriority w:val="99"/>
    <w:pPr>
      <w:widowControl w:val="0"/>
      <w:autoSpaceDE w:val="0"/>
      <w:autoSpaceDN w:val="0"/>
      <w:adjustRightInd w:val="0"/>
      <w:ind w:firstLine="358" w:firstLineChars="128"/>
    </w:pPr>
    <w:rPr>
      <w:rFonts w:hint="eastAsia" w:ascii="仿宋_GB2312" w:hAnsi="Times New Roman" w:eastAsia="仿宋_GB2312"/>
      <w:sz w:val="28"/>
      <w:szCs w:val="24"/>
      <w:lang w:val="zh-CN"/>
    </w:rPr>
  </w:style>
  <w:style w:type="paragraph" w:styleId="4">
    <w:name w:val="Body Text First Indent"/>
    <w:basedOn w:val="2"/>
    <w:unhideWhenUsed/>
    <w:qFormat/>
    <w:uiPriority w:val="99"/>
    <w:pPr>
      <w:spacing w:after="120"/>
      <w:ind w:firstLine="420" w:firstLineChars="100"/>
    </w:pPr>
    <w:rPr>
      <w:rFonts w:hint="default"/>
      <w:sz w:val="24"/>
      <w:szCs w:val="24"/>
    </w:rPr>
  </w:style>
  <w:style w:type="paragraph" w:styleId="5">
    <w:name w:val="Body Text First Indent 2"/>
    <w:basedOn w:val="3"/>
    <w:unhideWhenUsed/>
    <w:qFormat/>
    <w:uiPriority w:val="99"/>
    <w:pPr>
      <w:tabs>
        <w:tab w:val="left" w:pos="4900"/>
      </w:tabs>
      <w:ind w:firstLine="420" w:firstLineChars="200"/>
    </w:pPr>
    <w:rPr>
      <w:rFonts w:hint="eastAsia"/>
      <w:sz w:val="28"/>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541</Words>
  <Characters>566</Characters>
  <Lines>0</Lines>
  <Paragraphs>0</Paragraphs>
  <TotalTime>0</TotalTime>
  <ScaleCrop>false</ScaleCrop>
  <LinksUpToDate>false</LinksUpToDate>
  <CharactersWithSpaces>566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2026-07-19T10:14:00Z</dcterms:created>
  <dc:creator>刺猬</dc:creator>
  <cp:lastModifiedBy>XDDHHDDDFT</cp:lastModifiedBy>
  <dcterms:modified xsi:type="dcterms:W3CDTF">2026-09-08T03:26:21Z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7E31D271476B4331968D112F28C27EC8_13</vt:lpwstr>
  </property>
  <property fmtid="{D5CDD505-2E9C-101B-9397-08002B2CF9AE}" pid="4" name="KSOTemplateDocerSaveRecord">
    <vt:lpwstr>eyJoZGlkIjoiY2ZjYzk5OTAzOTg5ZjNiOTNkMGY3NTQ5YzJiNTYxZjIiLCJ1c2VySWQiOiIxNDgzODgxNzAzIn0=</vt:lpwstr>
  </property>
</Properties>
</file>