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BDC0C">
      <w:pPr>
        <w:numPr>
          <w:ilvl w:val="0"/>
          <w:numId w:val="0"/>
        </w:numPr>
        <w:tabs>
          <w:tab w:val="left" w:pos="9030"/>
        </w:tabs>
        <w:snapToGrid w:val="0"/>
        <w:spacing w:line="360" w:lineRule="auto"/>
        <w:ind w:right="-62" w:rightChars="0"/>
        <w:jc w:val="center"/>
        <w:outlineLvl w:val="0"/>
        <w:rPr>
          <w:rFonts w:hint="eastAsia" w:ascii="仿宋_GB2312" w:hAnsi="仿宋_GB2312" w:eastAsia="仿宋_GB2312" w:cs="仿宋_GB2312"/>
          <w:b/>
          <w:bCs/>
          <w:sz w:val="28"/>
          <w:szCs w:val="28"/>
          <w:lang w:val="zh-CN"/>
        </w:rPr>
      </w:pPr>
      <w:bookmarkStart w:id="0" w:name="_Toc14547"/>
      <w:bookmarkStart w:id="1" w:name="_Toc6436"/>
      <w:r>
        <w:rPr>
          <w:rFonts w:hint="eastAsia" w:ascii="仿宋_GB2312" w:hAnsi="仿宋_GB2312" w:eastAsia="仿宋_GB2312" w:cs="仿宋_GB2312"/>
          <w:b/>
          <w:bCs/>
          <w:sz w:val="28"/>
          <w:szCs w:val="28"/>
          <w:lang w:val="zh-CN"/>
        </w:rPr>
        <w:t>拟</w:t>
      </w:r>
      <w:r>
        <w:rPr>
          <w:rFonts w:hint="eastAsia" w:ascii="仿宋_GB2312" w:hAnsi="仿宋_GB2312" w:eastAsia="仿宋_GB2312" w:cs="仿宋_GB2312"/>
          <w:b/>
          <w:bCs/>
          <w:sz w:val="28"/>
          <w:szCs w:val="28"/>
          <w:lang w:val="zh-CN"/>
        </w:rPr>
        <w:t>签订的合同条款文本</w:t>
      </w:r>
      <w:bookmarkEnd w:id="0"/>
      <w:bookmarkEnd w:id="1"/>
    </w:p>
    <w:p w14:paraId="345950AB">
      <w:pPr>
        <w:pStyle w:val="2"/>
        <w:numPr>
          <w:ilvl w:val="0"/>
          <w:numId w:val="0"/>
        </w:numPr>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（具体以实际签订合同文本）</w:t>
      </w:r>
    </w:p>
    <w:p w14:paraId="1C5ADE44">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bookmarkStart w:id="2" w:name="_Hlk107229277"/>
      <w:r>
        <w:rPr>
          <w:rFonts w:hint="eastAsia" w:ascii="仿宋_GB2312" w:hAnsi="仿宋_GB2312" w:eastAsia="仿宋_GB2312" w:cs="仿宋_GB2312"/>
          <w:bCs/>
          <w:sz w:val="28"/>
          <w:szCs w:val="28"/>
        </w:rPr>
        <w:t xml:space="preserve">甲方（采购人）： </w:t>
      </w:r>
    </w:p>
    <w:p w14:paraId="4BB28E1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乙方（</w:t>
      </w:r>
      <w:r>
        <w:rPr>
          <w:rFonts w:hint="eastAsia" w:ascii="仿宋_GB2312" w:hAnsi="仿宋_GB2312" w:eastAsia="仿宋_GB2312" w:cs="仿宋_GB2312"/>
          <w:bCs/>
          <w:sz w:val="28"/>
          <w:szCs w:val="28"/>
          <w:lang w:val="en-US" w:eastAsia="zh-CN"/>
        </w:rPr>
        <w:t>中标人</w:t>
      </w:r>
      <w:r>
        <w:rPr>
          <w:rFonts w:hint="eastAsia" w:ascii="仿宋_GB2312" w:hAnsi="仿宋_GB2312" w:eastAsia="仿宋_GB2312" w:cs="仿宋_GB2312"/>
          <w:bCs/>
          <w:sz w:val="28"/>
          <w:szCs w:val="28"/>
        </w:rPr>
        <w:t xml:space="preserve">）： </w:t>
      </w:r>
      <w:bookmarkStart w:id="3" w:name="_GoBack"/>
      <w:bookmarkEnd w:id="3"/>
    </w:p>
    <w:p w14:paraId="21356418">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lang w:eastAsia="zh-CN"/>
        </w:rPr>
        <w:t>西安市排水设施运维考核管道检测项目</w:t>
      </w:r>
      <w:r>
        <w:rPr>
          <w:rFonts w:hint="eastAsia" w:ascii="仿宋_GB2312" w:hAnsi="仿宋_GB2312" w:eastAsia="仿宋_GB2312" w:cs="仿宋_GB2312"/>
          <w:bCs/>
          <w:sz w:val="28"/>
          <w:szCs w:val="28"/>
          <w:u w:val="single"/>
        </w:rPr>
        <w:t>(项目编号：</w:t>
      </w:r>
      <w:r>
        <w:rPr>
          <w:rFonts w:hint="eastAsia" w:ascii="仿宋_GB2312" w:hAnsi="仿宋_GB2312" w:eastAsia="仿宋_GB2312" w:cs="仿宋_GB2312"/>
          <w:bCs/>
          <w:sz w:val="28"/>
          <w:szCs w:val="28"/>
          <w:u w:val="single"/>
          <w:lang w:eastAsia="zh-CN"/>
        </w:rPr>
        <w:t>SXHC202</w:t>
      </w:r>
      <w:r>
        <w:rPr>
          <w:rFonts w:hint="eastAsia" w:ascii="仿宋_GB2312" w:hAnsi="仿宋_GB2312" w:eastAsia="仿宋_GB2312" w:cs="仿宋_GB2312"/>
          <w:bCs/>
          <w:sz w:val="28"/>
          <w:szCs w:val="28"/>
          <w:u w:val="single"/>
          <w:lang w:val="en-US" w:eastAsia="zh-CN"/>
        </w:rPr>
        <w:t>6-163</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rPr>
        <w:t>，由陕西华采招标有限公司组织</w:t>
      </w:r>
      <w:r>
        <w:rPr>
          <w:rFonts w:hint="eastAsia" w:ascii="仿宋_GB2312" w:hAnsi="仿宋_GB2312" w:eastAsia="仿宋_GB2312" w:cs="仿宋_GB2312"/>
          <w:bCs/>
          <w:sz w:val="28"/>
          <w:szCs w:val="28"/>
          <w:lang w:val="en-US" w:eastAsia="zh-CN"/>
        </w:rPr>
        <w:t>公开招标</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(以下简称“甲方”)确定</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（以下简称“乙方”）为该项目</w:t>
      </w:r>
      <w:r>
        <w:rPr>
          <w:rFonts w:hint="eastAsia" w:ascii="仿宋_GB2312" w:hAnsi="仿宋_GB2312" w:eastAsia="仿宋_GB2312" w:cs="仿宋_GB2312"/>
          <w:bCs/>
          <w:sz w:val="28"/>
          <w:szCs w:val="28"/>
          <w:lang w:val="en-US" w:eastAsia="zh-CN"/>
        </w:rPr>
        <w:t>采购包</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的</w:t>
      </w:r>
      <w:r>
        <w:rPr>
          <w:rFonts w:hint="eastAsia" w:ascii="仿宋_GB2312" w:hAnsi="仿宋_GB2312" w:eastAsia="仿宋_GB2312" w:cs="仿宋_GB2312"/>
          <w:bCs/>
          <w:sz w:val="28"/>
          <w:szCs w:val="28"/>
          <w:lang w:val="en-US" w:eastAsia="zh-CN"/>
        </w:rPr>
        <w:t>中标人</w:t>
      </w:r>
      <w:r>
        <w:rPr>
          <w:rFonts w:hint="eastAsia" w:ascii="仿宋_GB2312" w:hAnsi="仿宋_GB2312" w:eastAsia="仿宋_GB2312" w:cs="仿宋_GB2312"/>
          <w:bCs/>
          <w:sz w:val="28"/>
          <w:szCs w:val="28"/>
        </w:rPr>
        <w:t>。</w:t>
      </w:r>
    </w:p>
    <w:p w14:paraId="36AC0FB8">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依据《中华人民共和国</w:t>
      </w:r>
      <w:r>
        <w:rPr>
          <w:rFonts w:hint="eastAsia" w:ascii="仿宋_GB2312" w:hAnsi="仿宋_GB2312" w:eastAsia="仿宋_GB2312" w:cs="仿宋_GB2312"/>
          <w:bCs/>
          <w:sz w:val="28"/>
          <w:szCs w:val="28"/>
          <w:lang w:val="en-US" w:eastAsia="zh-CN"/>
        </w:rPr>
        <w:t>民法典</w:t>
      </w:r>
      <w:r>
        <w:rPr>
          <w:rFonts w:hint="eastAsia" w:ascii="仿宋_GB2312" w:hAnsi="仿宋_GB2312" w:eastAsia="仿宋_GB2312" w:cs="仿宋_GB2312"/>
          <w:bCs/>
          <w:sz w:val="28"/>
          <w:szCs w:val="28"/>
        </w:rPr>
        <w:t>》和《中华人民共和国政府采购法》之规定，经双方在平等、自愿、互利的基础上，签订本合同，共同信守。</w:t>
      </w:r>
    </w:p>
    <w:p w14:paraId="30A59DD1">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一、合同价款</w:t>
      </w:r>
    </w:p>
    <w:p w14:paraId="02D79652">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（一）本工程采用固定综合单价为</w:t>
      </w:r>
      <w:r>
        <w:rPr>
          <w:rFonts w:hint="eastAsia" w:ascii="仿宋_GB2312" w:hAnsi="仿宋_GB2312" w:eastAsia="仿宋_GB2312" w:cs="仿宋_GB2312"/>
          <w:sz w:val="28"/>
          <w:szCs w:val="28"/>
          <w:highlight w:val="none"/>
          <w:u w:val="none"/>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元/米，合同总价暂定为</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元（大写：</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），最终支付金额不超过</w:t>
      </w:r>
      <w:r>
        <w:rPr>
          <w:rFonts w:hint="eastAsia" w:ascii="仿宋_GB2312" w:hAnsi="仿宋_GB2312" w:eastAsia="仿宋_GB2312" w:cs="仿宋_GB2312"/>
          <w:sz w:val="28"/>
          <w:szCs w:val="28"/>
          <w:highlight w:val="none"/>
          <w:lang w:val="en-US" w:eastAsia="zh-CN"/>
        </w:rPr>
        <w:t>投标报价</w:t>
      </w:r>
      <w:r>
        <w:rPr>
          <w:rFonts w:hint="eastAsia" w:ascii="仿宋_GB2312" w:hAnsi="仿宋_GB2312" w:eastAsia="仿宋_GB2312" w:cs="仿宋_GB2312"/>
          <w:sz w:val="28"/>
          <w:szCs w:val="28"/>
          <w:highlight w:val="none"/>
        </w:rPr>
        <w:t>。合同综合单价在合同履约期内固定不变，不因任何因素调整。</w:t>
      </w:r>
    </w:p>
    <w:p w14:paraId="01EE1A38">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（二）合同总价是指本次服务内容所需的全部费用,包括完成采购内容所需的直接费、间接费、利润、税金及其他相关的一切费用。</w:t>
      </w:r>
    </w:p>
    <w:p w14:paraId="1C702A20">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b/>
          <w:bCs/>
          <w:sz w:val="28"/>
          <w:szCs w:val="28"/>
          <w:highlight w:val="none"/>
        </w:rPr>
        <w:t>二、委托工作内容</w:t>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lang w:val="en-US" w:eastAsia="zh-CN"/>
        </w:rPr>
        <w:t>。</w:t>
      </w:r>
    </w:p>
    <w:p w14:paraId="6DFDAFF6">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b/>
          <w:sz w:val="28"/>
          <w:szCs w:val="28"/>
          <w:highlight w:val="none"/>
          <w:lang w:val="en-US" w:eastAsia="zh-CN"/>
        </w:rPr>
        <w:t>三</w:t>
      </w:r>
      <w:r>
        <w:rPr>
          <w:rFonts w:hint="eastAsia" w:ascii="仿宋_GB2312" w:hAnsi="仿宋_GB2312" w:eastAsia="仿宋_GB2312" w:cs="仿宋_GB2312"/>
          <w:b/>
          <w:sz w:val="28"/>
          <w:szCs w:val="28"/>
          <w:highlight w:val="none"/>
        </w:rPr>
        <w:t>、款项结算</w:t>
      </w:r>
    </w:p>
    <w:p w14:paraId="1F0BA0C2">
      <w:pPr>
        <w:widowControl w:val="0"/>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（一）项款支付:</w:t>
      </w:r>
      <w:r>
        <w:rPr>
          <w:rFonts w:hint="eastAsia" w:ascii="仿宋_GB2312" w:hAnsi="仿宋_GB2312" w:eastAsia="仿宋_GB2312" w:cs="仿宋_GB2312"/>
          <w:bCs w:val="0"/>
          <w:sz w:val="28"/>
          <w:szCs w:val="28"/>
          <w:highlight w:val="none"/>
          <w:lang w:val="en-US" w:eastAsia="zh-CN"/>
        </w:rPr>
        <w:t>合同签订后30个工作日内支付预算款5</w:t>
      </w:r>
      <w:r>
        <w:rPr>
          <w:rFonts w:hint="eastAsia" w:ascii="仿宋_GB2312" w:hAnsi="仿宋_GB2312" w:eastAsia="仿宋_GB2312" w:cs="仿宋_GB2312"/>
          <w:sz w:val="28"/>
          <w:szCs w:val="28"/>
          <w:highlight w:val="none"/>
          <w:lang w:val="en-US" w:eastAsia="zh-CN"/>
        </w:rPr>
        <w:t>4.495万元</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其他剩下价款待合同执行完毕、项目通过验收且财政资金指标下达后 ，达到付款条件起</w:t>
      </w:r>
      <w:r>
        <w:rPr>
          <w:rFonts w:hint="eastAsia" w:ascii="仿宋_GB2312" w:hAnsi="仿宋_GB2312" w:eastAsia="仿宋_GB2312" w:cs="仿宋_GB2312"/>
          <w:sz w:val="28"/>
          <w:szCs w:val="28"/>
          <w:highlight w:val="none"/>
          <w:lang w:val="en-US" w:eastAsia="zh-CN"/>
        </w:rPr>
        <w:t>30个工作日内</w:t>
      </w:r>
      <w:r>
        <w:rPr>
          <w:rFonts w:hint="eastAsia" w:ascii="仿宋_GB2312" w:hAnsi="仿宋_GB2312" w:eastAsia="仿宋_GB2312" w:cs="仿宋_GB2312"/>
          <w:sz w:val="28"/>
          <w:szCs w:val="28"/>
          <w:highlight w:val="none"/>
        </w:rPr>
        <w:t>，支付合同</w:t>
      </w:r>
      <w:r>
        <w:rPr>
          <w:rFonts w:hint="eastAsia" w:ascii="仿宋_GB2312" w:hAnsi="仿宋_GB2312" w:eastAsia="仿宋_GB2312" w:cs="仿宋_GB2312"/>
          <w:sz w:val="28"/>
          <w:szCs w:val="28"/>
          <w:highlight w:val="none"/>
          <w:lang w:eastAsia="zh-CN"/>
        </w:rPr>
        <w:t>剩余金额</w:t>
      </w:r>
      <w:r>
        <w:rPr>
          <w:rFonts w:hint="eastAsia" w:ascii="仿宋_GB2312" w:hAnsi="仿宋_GB2312" w:eastAsia="仿宋_GB2312" w:cs="仿宋_GB2312"/>
          <w:sz w:val="28"/>
          <w:szCs w:val="28"/>
          <w:highlight w:val="none"/>
        </w:rPr>
        <w:t>。</w:t>
      </w:r>
    </w:p>
    <w:p w14:paraId="0BC1C06B">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（二）支付方式：银行转账。</w:t>
      </w:r>
    </w:p>
    <w:p w14:paraId="2246B4BB">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（三）结算方式：乙方在接受付款前，</w:t>
      </w:r>
      <w:r>
        <w:rPr>
          <w:rFonts w:hint="eastAsia" w:ascii="仿宋_GB2312" w:hAnsi="仿宋_GB2312" w:eastAsia="仿宋_GB2312" w:cs="仿宋_GB2312"/>
          <w:sz w:val="28"/>
          <w:szCs w:val="28"/>
          <w:highlight w:val="none"/>
          <w:lang w:val="en-US" w:eastAsia="zh-CN"/>
        </w:rPr>
        <w:t>根据支付方式开具</w:t>
      </w:r>
      <w:r>
        <w:rPr>
          <w:rFonts w:hint="eastAsia" w:ascii="仿宋_GB2312" w:hAnsi="仿宋_GB2312" w:eastAsia="仿宋_GB2312" w:cs="仿宋_GB2312"/>
          <w:sz w:val="28"/>
          <w:szCs w:val="28"/>
          <w:highlight w:val="none"/>
        </w:rPr>
        <w:t>发票给甲方。</w:t>
      </w:r>
    </w:p>
    <w:p w14:paraId="6584B94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（四）验收依据：合同文本,</w:t>
      </w:r>
      <w:r>
        <w:rPr>
          <w:rFonts w:hint="eastAsia" w:ascii="仿宋_GB2312" w:hAnsi="仿宋_GB2312" w:eastAsia="仿宋_GB2312" w:cs="仿宋_GB2312"/>
          <w:bCs/>
          <w:sz w:val="28"/>
          <w:szCs w:val="28"/>
          <w:highlight w:val="none"/>
          <w:lang w:val="en-US" w:eastAsia="zh-CN"/>
        </w:rPr>
        <w:t>投标</w:t>
      </w:r>
      <w:r>
        <w:rPr>
          <w:rFonts w:hint="eastAsia" w:ascii="仿宋_GB2312" w:hAnsi="仿宋_GB2312" w:eastAsia="仿宋_GB2312" w:cs="仿宋_GB2312"/>
          <w:bCs/>
          <w:sz w:val="28"/>
          <w:szCs w:val="28"/>
          <w:highlight w:val="none"/>
        </w:rPr>
        <w:t>文件和其他与项目相关的资料；国家和行业制定的相应的标准和规范：验收清单。</w:t>
      </w:r>
    </w:p>
    <w:p w14:paraId="30E89D34">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lang w:val="en-US" w:eastAsia="zh-CN"/>
        </w:rPr>
        <w:t>四</w:t>
      </w:r>
      <w:r>
        <w:rPr>
          <w:rFonts w:hint="eastAsia" w:ascii="仿宋_GB2312" w:hAnsi="仿宋_GB2312" w:eastAsia="仿宋_GB2312" w:cs="仿宋_GB2312"/>
          <w:b/>
          <w:bCs/>
          <w:sz w:val="28"/>
          <w:szCs w:val="28"/>
          <w:highlight w:val="none"/>
        </w:rPr>
        <w:t>、服务要求</w:t>
      </w:r>
    </w:p>
    <w:p w14:paraId="034D6A3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lang w:eastAsia="zh-CN"/>
        </w:rPr>
      </w:pPr>
      <w:r>
        <w:rPr>
          <w:rFonts w:hint="eastAsia" w:ascii="仿宋_GB2312" w:hAnsi="仿宋_GB2312" w:eastAsia="仿宋_GB2312" w:cs="仿宋_GB2312"/>
          <w:bCs/>
          <w:color w:val="auto"/>
          <w:sz w:val="28"/>
          <w:szCs w:val="28"/>
          <w:highlight w:val="none"/>
        </w:rPr>
        <w:t>（一）</w:t>
      </w:r>
      <w:r>
        <w:rPr>
          <w:rFonts w:hint="eastAsia" w:ascii="仿宋_GB2312" w:hAnsi="仿宋_GB2312" w:eastAsia="仿宋_GB2312" w:cs="仿宋_GB2312"/>
          <w:bCs/>
          <w:color w:val="auto"/>
          <w:sz w:val="28"/>
          <w:szCs w:val="28"/>
          <w:highlight w:val="none"/>
          <w:lang w:val="en-US" w:eastAsia="zh-CN"/>
        </w:rPr>
        <w:t>服务期限</w:t>
      </w:r>
      <w:r>
        <w:rPr>
          <w:rFonts w:hint="eastAsia" w:ascii="仿宋_GB2312" w:hAnsi="仿宋_GB2312" w:eastAsia="仿宋_GB2312" w:cs="仿宋_GB2312"/>
          <w:bCs/>
          <w:color w:val="auto"/>
          <w:sz w:val="28"/>
          <w:szCs w:val="28"/>
          <w:highlight w:val="none"/>
        </w:rPr>
        <w:t>：12个月（2026年8月至2027年7月）。</w:t>
      </w:r>
    </w:p>
    <w:p w14:paraId="1E93B4FC">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15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kern w:val="0"/>
          <w:sz w:val="28"/>
          <w:szCs w:val="28"/>
          <w:highlight w:val="none"/>
        </w:rPr>
        <w:t xml:space="preserve"> </w:t>
      </w:r>
      <w:r>
        <w:rPr>
          <w:rFonts w:hint="eastAsia" w:ascii="仿宋_GB2312" w:hAnsi="仿宋_GB2312" w:eastAsia="仿宋_GB2312" w:cs="仿宋_GB2312"/>
          <w:bCs/>
          <w:sz w:val="28"/>
          <w:szCs w:val="28"/>
          <w:highlight w:val="none"/>
        </w:rPr>
        <w:t>（</w:t>
      </w:r>
      <w:r>
        <w:rPr>
          <w:rFonts w:hint="eastAsia" w:ascii="仿宋_GB2312" w:hAnsi="仿宋_GB2312" w:eastAsia="仿宋_GB2312" w:cs="仿宋_GB2312"/>
          <w:bCs/>
          <w:color w:val="auto"/>
          <w:sz w:val="28"/>
          <w:szCs w:val="28"/>
          <w:highlight w:val="none"/>
        </w:rPr>
        <w:t>二）服务地点：</w:t>
      </w:r>
    </w:p>
    <w:p w14:paraId="05F92FC6">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15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采购包1：</w:t>
      </w:r>
    </w:p>
    <w:p w14:paraId="58422536">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15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城西区域（以未央路</w:t>
      </w:r>
      <w:r>
        <w:rPr>
          <w:rFonts w:hint="eastAsia" w:ascii="仿宋_GB2312" w:hAnsi="仿宋_GB2312" w:eastAsia="仿宋_GB2312" w:cs="仿宋_GB2312"/>
          <w:sz w:val="28"/>
          <w:szCs w:val="28"/>
          <w:lang w:val="en-US" w:eastAsia="zh-CN"/>
        </w:rPr>
        <w:t>-北关正街-南北大街-</w:t>
      </w:r>
      <w:r>
        <w:rPr>
          <w:rFonts w:hint="eastAsia" w:ascii="仿宋_GB2312" w:hAnsi="仿宋_GB2312" w:eastAsia="仿宋_GB2312" w:cs="仿宋_GB2312"/>
          <w:bCs/>
          <w:color w:val="auto"/>
          <w:sz w:val="28"/>
          <w:szCs w:val="28"/>
          <w:highlight w:val="none"/>
        </w:rPr>
        <w:t>长安路为中轴线划分），涉及应急、跨区域等事项任务，可由</w:t>
      </w:r>
      <w:r>
        <w:rPr>
          <w:rFonts w:hint="eastAsia" w:ascii="仿宋_GB2312" w:hAnsi="仿宋_GB2312" w:eastAsia="仿宋_GB2312" w:cs="仿宋_GB2312"/>
          <w:bCs/>
          <w:color w:val="auto"/>
          <w:sz w:val="28"/>
          <w:szCs w:val="28"/>
          <w:highlight w:val="none"/>
          <w:lang w:val="en-US" w:eastAsia="zh-CN"/>
        </w:rPr>
        <w:t>甲方</w:t>
      </w:r>
      <w:r>
        <w:rPr>
          <w:rFonts w:hint="eastAsia" w:ascii="仿宋_GB2312" w:hAnsi="仿宋_GB2312" w:eastAsia="仿宋_GB2312" w:cs="仿宋_GB2312"/>
          <w:bCs/>
          <w:color w:val="auto"/>
          <w:sz w:val="28"/>
          <w:szCs w:val="28"/>
          <w:highlight w:val="none"/>
        </w:rPr>
        <w:t>直接指定。</w:t>
      </w:r>
    </w:p>
    <w:p w14:paraId="3FE65AE6">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15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采购包2：</w:t>
      </w:r>
    </w:p>
    <w:p w14:paraId="43E38D9E">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15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城东区域（以未央路</w:t>
      </w:r>
      <w:r>
        <w:rPr>
          <w:rFonts w:hint="eastAsia" w:ascii="仿宋_GB2312" w:hAnsi="仿宋_GB2312" w:eastAsia="仿宋_GB2312" w:cs="仿宋_GB2312"/>
          <w:sz w:val="28"/>
          <w:szCs w:val="28"/>
          <w:lang w:val="en-US" w:eastAsia="zh-CN"/>
        </w:rPr>
        <w:t>-北关正街-南北大街-</w:t>
      </w:r>
      <w:r>
        <w:rPr>
          <w:rFonts w:hint="eastAsia" w:ascii="仿宋_GB2312" w:hAnsi="仿宋_GB2312" w:eastAsia="仿宋_GB2312" w:cs="仿宋_GB2312"/>
          <w:bCs/>
          <w:color w:val="auto"/>
          <w:sz w:val="28"/>
          <w:szCs w:val="28"/>
          <w:highlight w:val="none"/>
        </w:rPr>
        <w:t>长安路为中轴线划分），涉及应急、跨区域等事项任务，可由</w:t>
      </w:r>
      <w:r>
        <w:rPr>
          <w:rFonts w:hint="eastAsia" w:ascii="仿宋_GB2312" w:hAnsi="仿宋_GB2312" w:eastAsia="仿宋_GB2312" w:cs="仿宋_GB2312"/>
          <w:bCs/>
          <w:color w:val="auto"/>
          <w:sz w:val="28"/>
          <w:szCs w:val="28"/>
          <w:highlight w:val="none"/>
          <w:lang w:val="en-US" w:eastAsia="zh-CN"/>
        </w:rPr>
        <w:t>甲方</w:t>
      </w:r>
      <w:r>
        <w:rPr>
          <w:rFonts w:hint="eastAsia" w:ascii="仿宋_GB2312" w:hAnsi="仿宋_GB2312" w:eastAsia="仿宋_GB2312" w:cs="仿宋_GB2312"/>
          <w:bCs/>
          <w:color w:val="auto"/>
          <w:sz w:val="28"/>
          <w:szCs w:val="28"/>
          <w:highlight w:val="none"/>
        </w:rPr>
        <w:t>直接指定。</w:t>
      </w:r>
    </w:p>
    <w:p w14:paraId="54F4E22C">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b/>
          <w:bCs/>
          <w:sz w:val="28"/>
          <w:szCs w:val="28"/>
          <w:highlight w:val="none"/>
          <w:lang w:val="en-US" w:eastAsia="zh-CN"/>
        </w:rPr>
        <w:t>五</w:t>
      </w:r>
      <w:r>
        <w:rPr>
          <w:rFonts w:hint="eastAsia" w:ascii="仿宋_GB2312" w:hAnsi="仿宋_GB2312" w:eastAsia="仿宋_GB2312" w:cs="仿宋_GB2312"/>
          <w:b/>
          <w:bCs/>
          <w:sz w:val="28"/>
          <w:szCs w:val="28"/>
          <w:highlight w:val="none"/>
        </w:rPr>
        <w:t>、</w:t>
      </w:r>
      <w:r>
        <w:rPr>
          <w:rFonts w:hint="eastAsia" w:ascii="仿宋_GB2312" w:hAnsi="仿宋_GB2312" w:eastAsia="仿宋_GB2312" w:cs="仿宋_GB2312"/>
          <w:b/>
          <w:bCs/>
          <w:sz w:val="28"/>
          <w:szCs w:val="28"/>
          <w:highlight w:val="none"/>
          <w:lang w:val="en-US" w:eastAsia="zh-CN"/>
        </w:rPr>
        <w:t>权利和义务</w:t>
      </w:r>
      <w:r>
        <w:rPr>
          <w:rFonts w:hint="eastAsia" w:ascii="仿宋_GB2312" w:hAnsi="仿宋_GB2312" w:eastAsia="仿宋_GB2312" w:cs="仿宋_GB2312"/>
          <w:sz w:val="28"/>
          <w:szCs w:val="28"/>
          <w:highlight w:val="none"/>
          <w:lang w:val="en-US" w:eastAsia="zh-CN"/>
        </w:rPr>
        <w:t xml:space="preserve"> </w:t>
      </w:r>
    </w:p>
    <w:p w14:paraId="75316DFD">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w:t>
      </w:r>
      <w:r>
        <w:rPr>
          <w:rFonts w:hint="eastAsia" w:ascii="仿宋_GB2312" w:hAnsi="仿宋_GB2312" w:eastAsia="仿宋_GB2312" w:cs="仿宋_GB2312"/>
          <w:sz w:val="28"/>
          <w:szCs w:val="28"/>
          <w:highlight w:val="none"/>
          <w:lang w:val="en-US" w:eastAsia="zh-CN"/>
        </w:rPr>
        <w:t xml:space="preserve">甲方权利与义务 </w:t>
      </w:r>
    </w:p>
    <w:p w14:paraId="1BE3B4C2">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1.甲方负责配合本次项目工作；</w:t>
      </w:r>
    </w:p>
    <w:p w14:paraId="526970CD">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2.甲方应按本合同的约定向乙方支付合同价款；</w:t>
      </w:r>
    </w:p>
    <w:p w14:paraId="612EF1B4">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3.甲方根据需要对乙方提供的服务方案进行审核，提供建议及意见，确定最终实施的服务方案，以便乙方遵照执行；</w:t>
      </w:r>
    </w:p>
    <w:p w14:paraId="097AA53D">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4.甲方有权对乙方的工作进行监督和考核。</w:t>
      </w:r>
    </w:p>
    <w:p w14:paraId="4FA7A05E">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（二）乙方权利和义务 </w:t>
      </w:r>
    </w:p>
    <w:p w14:paraId="3A89DE68">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 xml:space="preserve">1.乙方应按照国家服务规范、标准和甲方的采购需求和服务要求进行工作，根据甲方要求按时提交质量合格的服务成果，满足甲方需求； </w:t>
      </w:r>
    </w:p>
    <w:p w14:paraId="376689CE">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val="0"/>
          <w:snapToGrid w:val="0"/>
          <w:color w:val="000000"/>
          <w:kern w:val="0"/>
          <w:sz w:val="28"/>
          <w:szCs w:val="28"/>
          <w:highlight w:val="none"/>
          <w:lang w:val="en-US" w:eastAsia="zh-CN" w:bidi="ar-SA"/>
        </w:rPr>
        <w:t>2</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b w:val="0"/>
          <w:snapToGrid w:val="0"/>
          <w:color w:val="000000"/>
          <w:kern w:val="0"/>
          <w:sz w:val="28"/>
          <w:szCs w:val="28"/>
          <w:highlight w:val="none"/>
          <w:lang w:val="en-US" w:eastAsia="zh-CN" w:bidi="ar-SA"/>
        </w:rPr>
        <w:t>根据本合同的规定向甲方收取相关服务费用，并有权在本项目管理范围内管理及合理使用；</w:t>
      </w:r>
    </w:p>
    <w:p w14:paraId="71B88E03">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3.乙方有权对业务工作提出建议； </w:t>
      </w:r>
    </w:p>
    <w:p w14:paraId="68E9415C">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4.乙方应接受甲方的检查监督及指导，完成甲方依合同约定交办的各项工作任务； </w:t>
      </w:r>
    </w:p>
    <w:p w14:paraId="7A70F6F2">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5.按合同约定要求开展工作，如有改变，乙方应提出书面申请，并征得甲方的书面同意；</w:t>
      </w:r>
    </w:p>
    <w:p w14:paraId="78645FE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 w:val="0"/>
          <w:bCs/>
          <w:sz w:val="28"/>
          <w:szCs w:val="28"/>
          <w:highlight w:val="none"/>
          <w:lang w:val="en-US" w:eastAsia="zh-CN"/>
        </w:rPr>
      </w:pPr>
      <w:r>
        <w:rPr>
          <w:rFonts w:hint="eastAsia" w:ascii="仿宋_GB2312" w:hAnsi="仿宋_GB2312" w:eastAsia="仿宋_GB2312" w:cs="仿宋_GB2312"/>
          <w:b w:val="0"/>
          <w:bCs/>
          <w:sz w:val="28"/>
          <w:szCs w:val="28"/>
          <w:highlight w:val="none"/>
          <w:lang w:val="en-US" w:eastAsia="zh-CN"/>
        </w:rPr>
        <w:t>6.乙方对项目实施中涉及甲方的各种信息、数据或技术材料等具有保密义务；</w:t>
      </w:r>
    </w:p>
    <w:p w14:paraId="588EA37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 w:val="0"/>
          <w:bCs/>
          <w:sz w:val="28"/>
          <w:szCs w:val="28"/>
          <w:highlight w:val="none"/>
          <w:lang w:val="en-US" w:eastAsia="zh-CN"/>
        </w:rPr>
      </w:pPr>
      <w:r>
        <w:rPr>
          <w:rFonts w:hint="eastAsia" w:ascii="仿宋_GB2312" w:hAnsi="仿宋_GB2312" w:eastAsia="仿宋_GB2312" w:cs="仿宋_GB2312"/>
          <w:b w:val="0"/>
          <w:bCs/>
          <w:sz w:val="28"/>
          <w:szCs w:val="28"/>
          <w:highlight w:val="none"/>
          <w:lang w:val="en-US" w:eastAsia="zh-CN"/>
        </w:rPr>
        <w:t>7.国家法律、法规所规定由乙方承担的其它责任。</w:t>
      </w:r>
    </w:p>
    <w:p w14:paraId="067957F2">
      <w:pPr>
        <w:autoSpaceDE w:val="0"/>
        <w:autoSpaceDN w:val="0"/>
        <w:adjustRightInd w:val="0"/>
        <w:spacing w:line="360" w:lineRule="auto"/>
        <w:ind w:firstLine="562" w:firstLineChars="200"/>
        <w:rPr>
          <w:rFonts w:hint="eastAsia" w:ascii="仿宋_GB2312" w:hAnsi="仿宋_GB2312" w:eastAsia="仿宋_GB2312" w:cs="仿宋_GB2312"/>
          <w:b/>
          <w:color w:val="auto"/>
          <w:sz w:val="28"/>
          <w:szCs w:val="28"/>
          <w:highlight w:val="none"/>
          <w:lang w:val="en-US" w:eastAsia="zh-CN"/>
        </w:rPr>
      </w:pPr>
      <w:r>
        <w:rPr>
          <w:rFonts w:hint="eastAsia" w:ascii="仿宋_GB2312" w:hAnsi="仿宋_GB2312" w:eastAsia="仿宋_GB2312" w:cs="仿宋_GB2312"/>
          <w:b/>
          <w:color w:val="auto"/>
          <w:sz w:val="28"/>
          <w:szCs w:val="28"/>
          <w:highlight w:val="none"/>
          <w:lang w:val="en-US" w:eastAsia="zh-CN"/>
        </w:rPr>
        <w:t>六、服务质量保证</w:t>
      </w:r>
    </w:p>
    <w:p w14:paraId="0ED4257D">
      <w:pPr>
        <w:autoSpaceDE w:val="0"/>
        <w:autoSpaceDN w:val="0"/>
        <w:adjustRightInd w:val="0"/>
        <w:snapToGrid w:val="0"/>
        <w:spacing w:line="360" w:lineRule="auto"/>
        <w:ind w:firstLine="63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以</w:t>
      </w:r>
      <w:r>
        <w:rPr>
          <w:rFonts w:hint="eastAsia" w:ascii="仿宋_GB2312" w:hAnsi="仿宋_GB2312" w:eastAsia="仿宋_GB2312" w:cs="仿宋_GB2312"/>
          <w:bCs/>
          <w:color w:val="auto"/>
          <w:sz w:val="28"/>
          <w:szCs w:val="28"/>
          <w:highlight w:val="none"/>
          <w:lang w:val="en-US" w:eastAsia="zh-CN"/>
        </w:rPr>
        <w:t>招标</w:t>
      </w:r>
      <w:r>
        <w:rPr>
          <w:rFonts w:hint="eastAsia" w:ascii="仿宋_GB2312" w:hAnsi="仿宋_GB2312" w:eastAsia="仿宋_GB2312" w:cs="仿宋_GB2312"/>
          <w:bCs/>
          <w:color w:val="auto"/>
          <w:sz w:val="28"/>
          <w:szCs w:val="28"/>
          <w:highlight w:val="none"/>
        </w:rPr>
        <w:t>文件、澄清（承诺）函、合同和服务承诺的相关文件为准，但至少应包括：</w:t>
      </w:r>
    </w:p>
    <w:p w14:paraId="644DEA23">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（一）乙方需派一名项目经理，直接与甲方沟通，项目经理接收甲方提出的问题与要求，并及时反馈给工作组，解决在项目实施过程中遇到的问题。</w:t>
      </w:r>
    </w:p>
    <w:p w14:paraId="1274A741">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（二）项目在实施过程中会出现不可预料的需求变更，乙方需积极配合甲方的需求变更，并按照变更后的需求继续进行方案实施。</w:t>
      </w:r>
    </w:p>
    <w:p w14:paraId="206E727B">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（三）乙方需提交所有实施方案流程及说明文档。</w:t>
      </w:r>
    </w:p>
    <w:p w14:paraId="2B665B87">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（四）乙方需建立高效的管理团队，项目团队组成合理。</w:t>
      </w:r>
    </w:p>
    <w:p w14:paraId="25C165E6">
      <w:pPr>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b/>
          <w:sz w:val="28"/>
          <w:szCs w:val="28"/>
          <w:highlight w:val="none"/>
          <w:lang w:val="en-US" w:eastAsia="zh-CN"/>
        </w:rPr>
      </w:pPr>
      <w:r>
        <w:rPr>
          <w:rFonts w:hint="eastAsia" w:ascii="仿宋_GB2312" w:hAnsi="仿宋_GB2312" w:eastAsia="仿宋_GB2312" w:cs="仿宋_GB2312"/>
          <w:bCs/>
          <w:color w:val="auto"/>
          <w:sz w:val="28"/>
          <w:szCs w:val="28"/>
          <w:highlight w:val="none"/>
        </w:rPr>
        <w:t>（五）乙方需设有详细的技术资料档案和服务档案，将保存项目的详细资料以便于更好地提供服务。</w:t>
      </w:r>
    </w:p>
    <w:p w14:paraId="73116ADF">
      <w:pPr>
        <w:keepNext w:val="0"/>
        <w:keepLines w:val="0"/>
        <w:pageBreakBefore w:val="0"/>
        <w:widowControl w:val="0"/>
        <w:kinsoku/>
        <w:wordWrap/>
        <w:overflowPunct/>
        <w:topLinePunct w:val="0"/>
        <w:bidi w:val="0"/>
        <w:adjustRightInd w:val="0"/>
        <w:snapToGrid w:val="0"/>
        <w:spacing w:line="360" w:lineRule="auto"/>
        <w:ind w:left="0"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七、知识产权</w:t>
      </w:r>
    </w:p>
    <w:p w14:paraId="14E36181">
      <w:pPr>
        <w:keepNext w:val="0"/>
        <w:keepLines w:val="0"/>
        <w:pageBreakBefore w:val="0"/>
        <w:widowControl w:val="0"/>
        <w:kinsoku/>
        <w:wordWrap/>
        <w:overflowPunct/>
        <w:topLinePunct w:val="0"/>
        <w:bidi w:val="0"/>
        <w:adjustRightInd w:val="0"/>
        <w:snapToGrid w:val="0"/>
        <w:spacing w:line="360" w:lineRule="auto"/>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（一）本项目知识产权归甲方所有。</w:t>
      </w:r>
    </w:p>
    <w:p w14:paraId="7DBEFA38">
      <w:pPr>
        <w:keepNext w:val="0"/>
        <w:keepLines w:val="0"/>
        <w:pageBreakBefore w:val="0"/>
        <w:widowControl w:val="0"/>
        <w:kinsoku/>
        <w:wordWrap/>
        <w:overflowPunct/>
        <w:topLinePunct w:val="0"/>
        <w:bidi w:val="0"/>
        <w:adjustRightInd w:val="0"/>
        <w:snapToGrid w:val="0"/>
        <w:spacing w:line="360" w:lineRule="auto"/>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41799340">
      <w:pPr>
        <w:keepNext w:val="0"/>
        <w:keepLines w:val="0"/>
        <w:pageBreakBefore w:val="0"/>
        <w:widowControl w:val="0"/>
        <w:kinsoku/>
        <w:wordWrap/>
        <w:overflowPunct/>
        <w:topLinePunct w:val="0"/>
        <w:bidi w:val="0"/>
        <w:adjustRightInd w:val="0"/>
        <w:snapToGrid w:val="0"/>
        <w:spacing w:line="360" w:lineRule="auto"/>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（三）乙方为执行本合同而提供的技术资料使用权归甲方所有。</w:t>
      </w:r>
    </w:p>
    <w:p w14:paraId="63C7191F">
      <w:pPr>
        <w:keepNext w:val="0"/>
        <w:keepLines w:val="0"/>
        <w:pageBreakBefore w:val="0"/>
        <w:widowControl w:val="0"/>
        <w:kinsoku/>
        <w:wordWrap/>
        <w:overflowPunct/>
        <w:topLinePunct w:val="0"/>
        <w:bidi w:val="0"/>
        <w:adjustRightInd w:val="0"/>
        <w:snapToGrid w:val="0"/>
        <w:spacing w:line="360" w:lineRule="auto"/>
        <w:ind w:left="0"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八、保密规定</w:t>
      </w:r>
    </w:p>
    <w:p w14:paraId="08F06E10">
      <w:pPr>
        <w:keepNext w:val="0"/>
        <w:keepLines w:val="0"/>
        <w:pageBreakBefore w:val="0"/>
        <w:widowControl w:val="0"/>
        <w:kinsoku/>
        <w:wordWrap/>
        <w:overflowPunct/>
        <w:topLinePunct w:val="0"/>
        <w:bidi w:val="0"/>
        <w:adjustRightInd w:val="0"/>
        <w:snapToGrid w:val="0"/>
        <w:spacing w:line="360" w:lineRule="auto"/>
        <w:ind w:left="0" w:firstLine="560" w:firstLineChars="200"/>
        <w:textAlignment w:val="auto"/>
        <w:rPr>
          <w:rFonts w:hint="eastAsia" w:ascii="仿宋_GB2312" w:hAnsi="仿宋_GB2312" w:eastAsia="仿宋_GB2312" w:cs="仿宋_GB2312"/>
          <w:b/>
          <w:sz w:val="28"/>
          <w:szCs w:val="28"/>
          <w:highlight w:val="none"/>
          <w:lang w:val="en-US" w:eastAsia="zh-CN"/>
        </w:rPr>
      </w:pPr>
      <w:r>
        <w:rPr>
          <w:rFonts w:hint="eastAsia" w:ascii="仿宋_GB2312" w:hAnsi="仿宋_GB2312" w:eastAsia="仿宋_GB2312" w:cs="仿宋_GB2312"/>
          <w:sz w:val="28"/>
          <w:szCs w:val="28"/>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3344EF80">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sz w:val="28"/>
          <w:szCs w:val="28"/>
          <w:highlight w:val="none"/>
          <w:lang w:val="en-US" w:eastAsia="zh-CN"/>
        </w:rPr>
      </w:pPr>
      <w:r>
        <w:rPr>
          <w:rFonts w:hint="eastAsia" w:ascii="仿宋_GB2312" w:hAnsi="仿宋_GB2312" w:eastAsia="仿宋_GB2312" w:cs="仿宋_GB2312"/>
          <w:b/>
          <w:sz w:val="28"/>
          <w:szCs w:val="28"/>
          <w:highlight w:val="none"/>
          <w:lang w:val="en-US" w:eastAsia="zh-CN"/>
        </w:rPr>
        <w:t>九</w:t>
      </w:r>
      <w:r>
        <w:rPr>
          <w:rFonts w:hint="eastAsia" w:ascii="仿宋_GB2312" w:hAnsi="仿宋_GB2312" w:eastAsia="仿宋_GB2312" w:cs="仿宋_GB2312"/>
          <w:b/>
          <w:sz w:val="28"/>
          <w:szCs w:val="28"/>
          <w:highlight w:val="none"/>
        </w:rPr>
        <w:t>、</w:t>
      </w:r>
      <w:r>
        <w:rPr>
          <w:rFonts w:hint="eastAsia" w:ascii="仿宋_GB2312" w:hAnsi="仿宋_GB2312" w:eastAsia="仿宋_GB2312" w:cs="仿宋_GB2312"/>
          <w:b/>
          <w:sz w:val="28"/>
          <w:szCs w:val="28"/>
          <w:highlight w:val="none"/>
          <w:lang w:val="en-US" w:eastAsia="zh-CN"/>
        </w:rPr>
        <w:t>验收</w:t>
      </w:r>
    </w:p>
    <w:p w14:paraId="61971EF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（一）本项目验收费用，由乙方自行承担。</w:t>
      </w:r>
    </w:p>
    <w:p w14:paraId="79CCF57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（二）服务期满后，由乙方向甲方递交验收通知书，经甲方确认后，组织乙方进行系统验收。验收合格后，填写项目验收单作为对本次服务的最终认可。</w:t>
      </w:r>
    </w:p>
    <w:p w14:paraId="5E26908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（三）验收依据：</w:t>
      </w:r>
    </w:p>
    <w:p w14:paraId="5A91E17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1、本合同及附加文本；</w:t>
      </w:r>
    </w:p>
    <w:p w14:paraId="6168474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w:t>
      </w:r>
      <w:r>
        <w:rPr>
          <w:rFonts w:hint="eastAsia" w:ascii="仿宋_GB2312" w:hAnsi="仿宋_GB2312" w:eastAsia="仿宋_GB2312" w:cs="仿宋_GB2312"/>
          <w:bCs/>
          <w:sz w:val="28"/>
          <w:szCs w:val="28"/>
          <w:highlight w:val="none"/>
          <w:lang w:val="en-US" w:eastAsia="zh-CN"/>
        </w:rPr>
        <w:t>招标</w:t>
      </w:r>
      <w:r>
        <w:rPr>
          <w:rFonts w:hint="eastAsia" w:ascii="仿宋_GB2312" w:hAnsi="仿宋_GB2312" w:eastAsia="仿宋_GB2312" w:cs="仿宋_GB2312"/>
          <w:bCs/>
          <w:sz w:val="28"/>
          <w:szCs w:val="28"/>
          <w:highlight w:val="none"/>
        </w:rPr>
        <w:t>文件、</w:t>
      </w:r>
      <w:r>
        <w:rPr>
          <w:rFonts w:hint="eastAsia" w:ascii="仿宋_GB2312" w:hAnsi="仿宋_GB2312" w:eastAsia="仿宋_GB2312" w:cs="仿宋_GB2312"/>
          <w:bCs/>
          <w:sz w:val="28"/>
          <w:szCs w:val="28"/>
          <w:highlight w:val="none"/>
          <w:lang w:val="en-US" w:eastAsia="zh-CN"/>
        </w:rPr>
        <w:t>中标人</w:t>
      </w:r>
      <w:r>
        <w:rPr>
          <w:rFonts w:hint="eastAsia" w:ascii="仿宋_GB2312" w:hAnsi="仿宋_GB2312" w:eastAsia="仿宋_GB2312" w:cs="仿宋_GB2312"/>
          <w:bCs/>
          <w:sz w:val="28"/>
          <w:szCs w:val="28"/>
          <w:highlight w:val="none"/>
        </w:rPr>
        <w:t>的</w:t>
      </w:r>
      <w:r>
        <w:rPr>
          <w:rFonts w:hint="eastAsia" w:ascii="仿宋_GB2312" w:hAnsi="仿宋_GB2312" w:eastAsia="仿宋_GB2312" w:cs="仿宋_GB2312"/>
          <w:bCs/>
          <w:sz w:val="28"/>
          <w:szCs w:val="28"/>
          <w:highlight w:val="none"/>
          <w:lang w:val="en-US" w:eastAsia="zh-CN"/>
        </w:rPr>
        <w:t>投标</w:t>
      </w:r>
      <w:r>
        <w:rPr>
          <w:rFonts w:hint="eastAsia" w:ascii="仿宋_GB2312" w:hAnsi="仿宋_GB2312" w:eastAsia="仿宋_GB2312" w:cs="仿宋_GB2312"/>
          <w:bCs/>
          <w:sz w:val="28"/>
          <w:szCs w:val="28"/>
          <w:highlight w:val="none"/>
        </w:rPr>
        <w:t>文件及澄清（承诺）函；</w:t>
      </w:r>
    </w:p>
    <w:p w14:paraId="62058D53">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b/>
          <w:sz w:val="28"/>
          <w:szCs w:val="28"/>
          <w:highlight w:val="none"/>
        </w:rPr>
      </w:pPr>
      <w:r>
        <w:rPr>
          <w:rFonts w:hint="eastAsia" w:ascii="仿宋_GB2312" w:hAnsi="仿宋_GB2312" w:eastAsia="仿宋_GB2312" w:cs="仿宋_GB2312"/>
          <w:bCs/>
          <w:sz w:val="28"/>
          <w:szCs w:val="28"/>
          <w:highlight w:val="none"/>
        </w:rPr>
        <w:t>3、国家相应的标准、规范。</w:t>
      </w:r>
    </w:p>
    <w:p w14:paraId="24277B0D">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lang w:val="en-US" w:eastAsia="zh-CN"/>
        </w:rPr>
        <w:t>十、</w:t>
      </w:r>
      <w:r>
        <w:rPr>
          <w:rFonts w:hint="eastAsia" w:ascii="仿宋_GB2312" w:hAnsi="仿宋_GB2312" w:eastAsia="仿宋_GB2312" w:cs="仿宋_GB2312"/>
          <w:b/>
          <w:sz w:val="28"/>
          <w:szCs w:val="28"/>
          <w:highlight w:val="none"/>
        </w:rPr>
        <w:t>其它事项</w:t>
      </w:r>
    </w:p>
    <w:p w14:paraId="026E93A0">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（一）乙方不得将项目转让、分包给其它单位或个人。</w:t>
      </w:r>
    </w:p>
    <w:p w14:paraId="421DE9AE">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b w:val="0"/>
          <w:bCs/>
          <w:sz w:val="28"/>
          <w:szCs w:val="28"/>
          <w:highlight w:val="none"/>
        </w:rPr>
      </w:pPr>
      <w:r>
        <w:rPr>
          <w:rFonts w:hint="eastAsia" w:ascii="仿宋_GB2312" w:hAnsi="仿宋_GB2312" w:eastAsia="仿宋_GB2312" w:cs="仿宋_GB2312"/>
          <w:b w:val="0"/>
          <w:bCs/>
          <w:sz w:val="28"/>
          <w:szCs w:val="28"/>
          <w:highlight w:val="none"/>
        </w:rPr>
        <w:t>（二）乙方的</w:t>
      </w:r>
      <w:r>
        <w:rPr>
          <w:rFonts w:hint="eastAsia" w:ascii="仿宋_GB2312" w:hAnsi="仿宋_GB2312" w:eastAsia="仿宋_GB2312" w:cs="仿宋_GB2312"/>
          <w:b w:val="0"/>
          <w:bCs/>
          <w:sz w:val="28"/>
          <w:szCs w:val="28"/>
          <w:highlight w:val="none"/>
          <w:lang w:val="en-US" w:eastAsia="zh-CN"/>
        </w:rPr>
        <w:t>投标</w:t>
      </w:r>
      <w:r>
        <w:rPr>
          <w:rFonts w:hint="eastAsia" w:ascii="仿宋_GB2312" w:hAnsi="仿宋_GB2312" w:eastAsia="仿宋_GB2312" w:cs="仿宋_GB2312"/>
          <w:b w:val="0"/>
          <w:bCs/>
          <w:sz w:val="28"/>
          <w:szCs w:val="28"/>
          <w:highlight w:val="none"/>
        </w:rPr>
        <w:t>文件和承诺等内容将列入合同。</w:t>
      </w:r>
    </w:p>
    <w:p w14:paraId="0E2D1CB9">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_GB2312" w:eastAsia="仿宋_GB2312" w:cs="仿宋_GB2312"/>
          <w:b/>
          <w:sz w:val="28"/>
          <w:szCs w:val="28"/>
          <w:highlight w:val="none"/>
        </w:rPr>
      </w:pPr>
      <w:r>
        <w:rPr>
          <w:rFonts w:hint="eastAsia" w:ascii="仿宋_GB2312" w:hAnsi="仿宋_GB2312" w:eastAsia="仿宋_GB2312" w:cs="仿宋_GB2312"/>
          <w:b/>
          <w:bCs/>
          <w:sz w:val="28"/>
          <w:szCs w:val="28"/>
          <w:highlight w:val="none"/>
          <w:lang w:val="en-US" w:eastAsia="zh-CN"/>
        </w:rPr>
        <w:t>十一</w:t>
      </w:r>
      <w:r>
        <w:rPr>
          <w:rFonts w:hint="eastAsia" w:ascii="仿宋_GB2312" w:hAnsi="仿宋_GB2312" w:eastAsia="仿宋_GB2312" w:cs="仿宋_GB2312"/>
          <w:b/>
          <w:bCs/>
          <w:sz w:val="28"/>
          <w:szCs w:val="28"/>
          <w:highlight w:val="none"/>
        </w:rPr>
        <w:t>、</w:t>
      </w:r>
      <w:r>
        <w:rPr>
          <w:rFonts w:hint="eastAsia" w:ascii="仿宋_GB2312" w:hAnsi="仿宋_GB2312" w:eastAsia="仿宋_GB2312" w:cs="仿宋_GB2312"/>
          <w:b/>
          <w:sz w:val="28"/>
          <w:szCs w:val="28"/>
          <w:highlight w:val="none"/>
        </w:rPr>
        <w:t>违约责任</w:t>
      </w:r>
    </w:p>
    <w:p w14:paraId="7777E6BF">
      <w:pPr>
        <w:autoSpaceDE w:val="0"/>
        <w:autoSpaceDN w:val="0"/>
        <w:adjustRightInd w:val="0"/>
        <w:snapToGrid w:val="0"/>
        <w:spacing w:line="360" w:lineRule="auto"/>
        <w:ind w:firstLine="63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（一）按《中华人民共和国民法典》中的相关条款执行。</w:t>
      </w:r>
    </w:p>
    <w:p w14:paraId="1BF30618">
      <w:pPr>
        <w:autoSpaceDE w:val="0"/>
        <w:autoSpaceDN w:val="0"/>
        <w:adjustRightInd w:val="0"/>
        <w:snapToGrid w:val="0"/>
        <w:spacing w:line="360" w:lineRule="auto"/>
        <w:ind w:firstLine="63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（二）按合同要求提供服务或服务质量不能满足</w:t>
      </w:r>
      <w:r>
        <w:rPr>
          <w:rFonts w:hint="eastAsia" w:ascii="仿宋_GB2312" w:hAnsi="仿宋_GB2312" w:eastAsia="仿宋_GB2312" w:cs="仿宋_GB2312"/>
          <w:sz w:val="28"/>
          <w:szCs w:val="28"/>
          <w:highlight w:val="none"/>
        </w:rPr>
        <w:t>不能满足本次磋商要求</w:t>
      </w:r>
      <w:r>
        <w:rPr>
          <w:rFonts w:hint="eastAsia" w:ascii="仿宋_GB2312" w:hAnsi="仿宋_GB2312" w:eastAsia="仿宋_GB2312" w:cs="仿宋_GB2312"/>
          <w:bCs/>
          <w:sz w:val="28"/>
          <w:szCs w:val="28"/>
          <w:highlight w:val="none"/>
        </w:rPr>
        <w:t>，乙方必须无条件提高技术，完善服务质量，否则，甲方会同监督机构、采购代理机构有权终止合同并对乙方违约行为进行追究，同时按政府采购供应商管理办法进行相应的处罚。</w:t>
      </w:r>
    </w:p>
    <w:p w14:paraId="568311B3">
      <w:pPr>
        <w:autoSpaceDE w:val="0"/>
        <w:autoSpaceDN w:val="0"/>
        <w:adjustRightInd w:val="0"/>
        <w:snapToGrid w:val="0"/>
        <w:spacing w:line="360" w:lineRule="auto"/>
        <w:ind w:firstLine="63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（三）任何一方因不可抗力原因不能履行协议时，应尽快通知对方，双方均设法补偿。如仍无法履约协议，可协商延缓或撤销协议，双方责任免除。</w:t>
      </w:r>
    </w:p>
    <w:p w14:paraId="00E5CF53">
      <w:pPr>
        <w:autoSpaceDE w:val="0"/>
        <w:autoSpaceDN w:val="0"/>
        <w:adjustRightInd w:val="0"/>
        <w:spacing w:line="360" w:lineRule="auto"/>
        <w:ind w:firstLine="562" w:firstLineChars="200"/>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lang w:val="en-US" w:eastAsia="zh-CN"/>
        </w:rPr>
        <w:t>十二</w:t>
      </w:r>
      <w:r>
        <w:rPr>
          <w:rFonts w:hint="eastAsia" w:ascii="仿宋_GB2312" w:hAnsi="仿宋_GB2312" w:eastAsia="仿宋_GB2312" w:cs="仿宋_GB2312"/>
          <w:b/>
          <w:bCs/>
          <w:sz w:val="28"/>
          <w:szCs w:val="28"/>
          <w:highlight w:val="none"/>
        </w:rPr>
        <w:t>、合同争议解决的方式</w:t>
      </w:r>
    </w:p>
    <w:p w14:paraId="65C15B38">
      <w:pPr>
        <w:autoSpaceDE w:val="0"/>
        <w:autoSpaceDN w:val="0"/>
        <w:adjustRightIn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本合同在履行过程中发生的争议，由甲、乙双方当事人协商解决，协商不成的按下列第</w:t>
      </w:r>
      <w:r>
        <w:rPr>
          <w:rFonts w:hint="eastAsia" w:ascii="仿宋_GB2312" w:hAnsi="仿宋_GB2312" w:eastAsia="仿宋_GB2312" w:cs="仿宋_GB2312"/>
          <w:bCs/>
          <w:sz w:val="28"/>
          <w:szCs w:val="28"/>
          <w:highlight w:val="none"/>
          <w:u w:val="single"/>
        </w:rPr>
        <w:t>（二）</w:t>
      </w:r>
      <w:r>
        <w:rPr>
          <w:rFonts w:hint="eastAsia" w:ascii="仿宋_GB2312" w:hAnsi="仿宋_GB2312" w:eastAsia="仿宋_GB2312" w:cs="仿宋_GB2312"/>
          <w:bCs/>
          <w:sz w:val="28"/>
          <w:szCs w:val="28"/>
          <w:highlight w:val="none"/>
        </w:rPr>
        <w:t>种方式解决：</w:t>
      </w:r>
    </w:p>
    <w:p w14:paraId="4522C9CA">
      <w:pPr>
        <w:autoSpaceDE w:val="0"/>
        <w:autoSpaceDN w:val="0"/>
        <w:adjustRightIn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（一）提交西安仲裁委员会仲裁；</w:t>
      </w:r>
    </w:p>
    <w:p w14:paraId="6088E2D9">
      <w:pPr>
        <w:autoSpaceDE w:val="0"/>
        <w:autoSpaceDN w:val="0"/>
        <w:adjustRightIn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（二）依法向甲方所在地人民法院起诉。</w:t>
      </w:r>
    </w:p>
    <w:p w14:paraId="6C4E9A93">
      <w:pPr>
        <w:autoSpaceDE w:val="0"/>
        <w:autoSpaceDN w:val="0"/>
        <w:adjustRightInd w:val="0"/>
        <w:spacing w:line="360" w:lineRule="auto"/>
        <w:ind w:firstLine="562" w:firstLineChars="200"/>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lang w:val="en-US" w:eastAsia="zh-CN"/>
        </w:rPr>
        <w:t>十三</w:t>
      </w:r>
      <w:r>
        <w:rPr>
          <w:rFonts w:hint="eastAsia" w:ascii="仿宋_GB2312" w:hAnsi="仿宋_GB2312" w:eastAsia="仿宋_GB2312" w:cs="仿宋_GB2312"/>
          <w:b/>
          <w:bCs/>
          <w:sz w:val="28"/>
          <w:szCs w:val="28"/>
          <w:highlight w:val="none"/>
        </w:rPr>
        <w:t>、合同生效</w:t>
      </w:r>
    </w:p>
    <w:p w14:paraId="54461793">
      <w:pPr>
        <w:autoSpaceDE w:val="0"/>
        <w:autoSpaceDN w:val="0"/>
        <w:adjustRightIn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（一）本合同经双方签字盖章后生效。</w:t>
      </w:r>
    </w:p>
    <w:p w14:paraId="6CD491E8">
      <w:pPr>
        <w:autoSpaceDE w:val="0"/>
        <w:autoSpaceDN w:val="0"/>
        <w:adjustRightIn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（二）本合同须经甲、乙双方的法定代表人（授权代理人）在合同书上签字并加盖本单位公章后正式生效。</w:t>
      </w:r>
    </w:p>
    <w:p w14:paraId="1BEFFF0F">
      <w:pPr>
        <w:autoSpaceDE w:val="0"/>
        <w:autoSpaceDN w:val="0"/>
        <w:adjustRightIn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（三）合同生效后，甲、乙双方须严格执行本合同条款的规定，全面履行合同，违者按《</w:t>
      </w:r>
      <w:r>
        <w:rPr>
          <w:rFonts w:hint="eastAsia" w:ascii="仿宋_GB2312" w:hAnsi="仿宋_GB2312" w:eastAsia="仿宋_GB2312" w:cs="仿宋_GB2312"/>
          <w:bCs/>
          <w:sz w:val="28"/>
          <w:szCs w:val="28"/>
          <w:highlight w:val="none"/>
          <w:lang w:eastAsia="zh-CN"/>
        </w:rPr>
        <w:t>中华人民共和国民法典</w:t>
      </w:r>
      <w:r>
        <w:rPr>
          <w:rFonts w:hint="eastAsia" w:ascii="仿宋_GB2312" w:hAnsi="仿宋_GB2312" w:eastAsia="仿宋_GB2312" w:cs="仿宋_GB2312"/>
          <w:bCs/>
          <w:sz w:val="28"/>
          <w:szCs w:val="28"/>
          <w:highlight w:val="none"/>
        </w:rPr>
        <w:t>》的有关规定承担相应责任。</w:t>
      </w:r>
    </w:p>
    <w:p w14:paraId="38F6579D">
      <w:pPr>
        <w:autoSpaceDE w:val="0"/>
        <w:autoSpaceDN w:val="0"/>
        <w:adjustRightIn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（四）本合同一式</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份，甲乙双方各执</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份。</w:t>
      </w:r>
    </w:p>
    <w:p w14:paraId="080A3590">
      <w:pPr>
        <w:autoSpaceDE w:val="0"/>
        <w:autoSpaceDN w:val="0"/>
        <w:adjustRightIn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（五）本合同如有未尽事宜，甲、乙双方协商解决。</w:t>
      </w:r>
    </w:p>
    <w:p w14:paraId="6DCE6A5B">
      <w:pPr>
        <w:autoSpaceDE w:val="0"/>
        <w:autoSpaceDN w:val="0"/>
        <w:adjustRightInd w:val="0"/>
        <w:snapToGrid w:val="0"/>
        <w:spacing w:line="360" w:lineRule="auto"/>
        <w:ind w:firstLine="560" w:firstLineChars="200"/>
        <w:rPr>
          <w:rFonts w:hint="eastAsia" w:ascii="仿宋_GB2312" w:hAnsi="仿宋_GB2312" w:eastAsia="仿宋_GB2312" w:cs="仿宋_GB2312"/>
          <w:sz w:val="28"/>
          <w:szCs w:val="28"/>
        </w:rPr>
      </w:pPr>
    </w:p>
    <w:p w14:paraId="67A820ED">
      <w:pPr>
        <w:autoSpaceDE w:val="0"/>
        <w:autoSpaceDN w:val="0"/>
        <w:adjustRightInd w:val="0"/>
        <w:snapToGrid w:val="0"/>
        <w:spacing w:line="360" w:lineRule="auto"/>
        <w:ind w:firstLine="700" w:firstLineChars="250"/>
        <w:rPr>
          <w:rFonts w:hint="eastAsia" w:ascii="仿宋_GB2312" w:hAnsi="仿宋_GB2312" w:eastAsia="仿宋_GB2312" w:cs="仿宋_GB2312"/>
          <w:sz w:val="28"/>
          <w:szCs w:val="28"/>
        </w:rPr>
      </w:pPr>
    </w:p>
    <w:p w14:paraId="032A48FD">
      <w:pPr>
        <w:pStyle w:val="16"/>
        <w:rPr>
          <w:rFonts w:hint="eastAsia" w:ascii="仿宋_GB2312" w:hAnsi="仿宋_GB2312" w:eastAsia="仿宋_GB2312" w:cs="仿宋_GB2312"/>
          <w:sz w:val="28"/>
          <w:szCs w:val="28"/>
        </w:rPr>
      </w:pPr>
    </w:p>
    <w:tbl>
      <w:tblPr>
        <w:tblStyle w:val="11"/>
        <w:tblW w:w="0" w:type="auto"/>
        <w:jc w:val="center"/>
        <w:tblLayout w:type="fixed"/>
        <w:tblCellMar>
          <w:top w:w="0" w:type="dxa"/>
          <w:left w:w="108" w:type="dxa"/>
          <w:bottom w:w="0" w:type="dxa"/>
          <w:right w:w="108" w:type="dxa"/>
        </w:tblCellMar>
      </w:tblPr>
      <w:tblGrid>
        <w:gridCol w:w="4201"/>
        <w:gridCol w:w="4202"/>
      </w:tblGrid>
      <w:tr w14:paraId="74056827">
        <w:tblPrEx>
          <w:tblCellMar>
            <w:top w:w="0" w:type="dxa"/>
            <w:left w:w="108" w:type="dxa"/>
            <w:bottom w:w="0" w:type="dxa"/>
            <w:right w:w="108" w:type="dxa"/>
          </w:tblCellMar>
        </w:tblPrEx>
        <w:trPr>
          <w:trHeight w:val="567" w:hRule="exact"/>
          <w:jc w:val="center"/>
        </w:trPr>
        <w:tc>
          <w:tcPr>
            <w:tcW w:w="4201" w:type="dxa"/>
            <w:noWrap w:val="0"/>
            <w:vAlign w:val="center"/>
          </w:tcPr>
          <w:p w14:paraId="6D3DE820">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甲  方</w:t>
            </w:r>
          </w:p>
        </w:tc>
        <w:tc>
          <w:tcPr>
            <w:tcW w:w="4202" w:type="dxa"/>
            <w:noWrap w:val="0"/>
            <w:vAlign w:val="center"/>
          </w:tcPr>
          <w:p w14:paraId="6FCA1908">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乙  方</w:t>
            </w:r>
          </w:p>
        </w:tc>
      </w:tr>
      <w:tr w14:paraId="3EB8DA76">
        <w:tblPrEx>
          <w:tblCellMar>
            <w:top w:w="0" w:type="dxa"/>
            <w:left w:w="108" w:type="dxa"/>
            <w:bottom w:w="0" w:type="dxa"/>
            <w:right w:w="108" w:type="dxa"/>
          </w:tblCellMar>
        </w:tblPrEx>
        <w:trPr>
          <w:trHeight w:val="567" w:hRule="exact"/>
          <w:jc w:val="center"/>
        </w:trPr>
        <w:tc>
          <w:tcPr>
            <w:tcW w:w="4201" w:type="dxa"/>
            <w:noWrap w:val="0"/>
            <w:vAlign w:val="center"/>
          </w:tcPr>
          <w:p w14:paraId="3BB9D3C8">
            <w:pPr>
              <w:autoSpaceDE w:val="0"/>
              <w:autoSpaceDN w:val="0"/>
              <w:adjustRightInd w:val="0"/>
              <w:ind w:firstLine="840" w:firstLineChars="35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（盖章）</w:t>
            </w:r>
          </w:p>
        </w:tc>
        <w:tc>
          <w:tcPr>
            <w:tcW w:w="4202" w:type="dxa"/>
            <w:noWrap w:val="0"/>
            <w:vAlign w:val="center"/>
          </w:tcPr>
          <w:p w14:paraId="41339B4A">
            <w:pPr>
              <w:autoSpaceDE w:val="0"/>
              <w:autoSpaceDN w:val="0"/>
              <w:adjustRightInd w:val="0"/>
              <w:ind w:firstLine="960" w:firstLineChars="40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（盖章）</w:t>
            </w:r>
          </w:p>
        </w:tc>
      </w:tr>
      <w:tr w14:paraId="2067A93D">
        <w:tblPrEx>
          <w:tblCellMar>
            <w:top w:w="0" w:type="dxa"/>
            <w:left w:w="108" w:type="dxa"/>
            <w:bottom w:w="0" w:type="dxa"/>
            <w:right w:w="108" w:type="dxa"/>
          </w:tblCellMar>
        </w:tblPrEx>
        <w:trPr>
          <w:trHeight w:val="567" w:hRule="exact"/>
          <w:jc w:val="center"/>
        </w:trPr>
        <w:tc>
          <w:tcPr>
            <w:tcW w:w="4201" w:type="dxa"/>
            <w:noWrap w:val="0"/>
            <w:vAlign w:val="center"/>
          </w:tcPr>
          <w:p w14:paraId="6B750530">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 xml:space="preserve">地址： </w:t>
            </w:r>
          </w:p>
        </w:tc>
        <w:tc>
          <w:tcPr>
            <w:tcW w:w="4202" w:type="dxa"/>
            <w:noWrap w:val="0"/>
            <w:vAlign w:val="center"/>
          </w:tcPr>
          <w:p w14:paraId="62773305">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地址：</w:t>
            </w:r>
          </w:p>
        </w:tc>
      </w:tr>
      <w:tr w14:paraId="1BDA99AA">
        <w:tblPrEx>
          <w:tblCellMar>
            <w:top w:w="0" w:type="dxa"/>
            <w:left w:w="108" w:type="dxa"/>
            <w:bottom w:w="0" w:type="dxa"/>
            <w:right w:w="108" w:type="dxa"/>
          </w:tblCellMar>
        </w:tblPrEx>
        <w:trPr>
          <w:trHeight w:val="567" w:hRule="exact"/>
          <w:jc w:val="center"/>
        </w:trPr>
        <w:tc>
          <w:tcPr>
            <w:tcW w:w="4201" w:type="dxa"/>
            <w:noWrap w:val="0"/>
            <w:vAlign w:val="center"/>
          </w:tcPr>
          <w:p w14:paraId="2A8BF954">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 xml:space="preserve">法定代表人 </w:t>
            </w:r>
          </w:p>
        </w:tc>
        <w:tc>
          <w:tcPr>
            <w:tcW w:w="4202" w:type="dxa"/>
            <w:noWrap w:val="0"/>
            <w:vAlign w:val="center"/>
          </w:tcPr>
          <w:p w14:paraId="74A20AD6">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法定代表人</w:t>
            </w:r>
          </w:p>
        </w:tc>
      </w:tr>
      <w:tr w14:paraId="49DDE792">
        <w:tblPrEx>
          <w:tblCellMar>
            <w:top w:w="0" w:type="dxa"/>
            <w:left w:w="108" w:type="dxa"/>
            <w:bottom w:w="0" w:type="dxa"/>
            <w:right w:w="108" w:type="dxa"/>
          </w:tblCellMar>
        </w:tblPrEx>
        <w:trPr>
          <w:trHeight w:val="567" w:hRule="exact"/>
          <w:jc w:val="center"/>
        </w:trPr>
        <w:tc>
          <w:tcPr>
            <w:tcW w:w="4201" w:type="dxa"/>
            <w:noWrap w:val="0"/>
            <w:vAlign w:val="center"/>
          </w:tcPr>
          <w:p w14:paraId="57E30534">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或授权代表：</w:t>
            </w:r>
          </w:p>
        </w:tc>
        <w:tc>
          <w:tcPr>
            <w:tcW w:w="4202" w:type="dxa"/>
            <w:noWrap w:val="0"/>
            <w:vAlign w:val="center"/>
          </w:tcPr>
          <w:p w14:paraId="4751730D">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或授权代表：</w:t>
            </w:r>
          </w:p>
        </w:tc>
      </w:tr>
      <w:tr w14:paraId="360CD67A">
        <w:tblPrEx>
          <w:tblCellMar>
            <w:top w:w="0" w:type="dxa"/>
            <w:left w:w="108" w:type="dxa"/>
            <w:bottom w:w="0" w:type="dxa"/>
            <w:right w:w="108" w:type="dxa"/>
          </w:tblCellMar>
        </w:tblPrEx>
        <w:trPr>
          <w:trHeight w:val="567" w:hRule="exact"/>
          <w:jc w:val="center"/>
        </w:trPr>
        <w:tc>
          <w:tcPr>
            <w:tcW w:w="4201" w:type="dxa"/>
            <w:noWrap w:val="0"/>
            <w:vAlign w:val="center"/>
          </w:tcPr>
          <w:p w14:paraId="1048DE5B">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电话：</w:t>
            </w:r>
          </w:p>
        </w:tc>
        <w:tc>
          <w:tcPr>
            <w:tcW w:w="4202" w:type="dxa"/>
            <w:noWrap w:val="0"/>
            <w:vAlign w:val="center"/>
          </w:tcPr>
          <w:p w14:paraId="59F0DC46">
            <w:pPr>
              <w:autoSpaceDE w:val="0"/>
              <w:autoSpaceDN w:val="0"/>
              <w:adjustRightInd w:val="0"/>
              <w:ind w:left="720" w:hanging="720" w:hangingChars="30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电话：</w:t>
            </w:r>
          </w:p>
        </w:tc>
      </w:tr>
      <w:tr w14:paraId="0A4FF4DD">
        <w:tblPrEx>
          <w:tblCellMar>
            <w:top w:w="0" w:type="dxa"/>
            <w:left w:w="108" w:type="dxa"/>
            <w:bottom w:w="0" w:type="dxa"/>
            <w:right w:w="108" w:type="dxa"/>
          </w:tblCellMar>
        </w:tblPrEx>
        <w:trPr>
          <w:trHeight w:val="567" w:hRule="exact"/>
          <w:jc w:val="center"/>
        </w:trPr>
        <w:tc>
          <w:tcPr>
            <w:tcW w:w="4201" w:type="dxa"/>
            <w:noWrap w:val="0"/>
            <w:vAlign w:val="center"/>
          </w:tcPr>
          <w:p w14:paraId="4F3E23A9">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传真：</w:t>
            </w:r>
          </w:p>
        </w:tc>
        <w:tc>
          <w:tcPr>
            <w:tcW w:w="4202" w:type="dxa"/>
            <w:noWrap w:val="0"/>
            <w:vAlign w:val="center"/>
          </w:tcPr>
          <w:p w14:paraId="33F9632E">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传真：</w:t>
            </w:r>
          </w:p>
        </w:tc>
      </w:tr>
      <w:tr w14:paraId="3050D1A3">
        <w:tblPrEx>
          <w:tblCellMar>
            <w:top w:w="0" w:type="dxa"/>
            <w:left w:w="108" w:type="dxa"/>
            <w:bottom w:w="0" w:type="dxa"/>
            <w:right w:w="108" w:type="dxa"/>
          </w:tblCellMar>
        </w:tblPrEx>
        <w:trPr>
          <w:trHeight w:val="567" w:hRule="exact"/>
          <w:jc w:val="center"/>
        </w:trPr>
        <w:tc>
          <w:tcPr>
            <w:tcW w:w="4201" w:type="dxa"/>
            <w:noWrap w:val="0"/>
            <w:vAlign w:val="center"/>
          </w:tcPr>
          <w:p w14:paraId="587DA283">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开户银行：</w:t>
            </w:r>
          </w:p>
        </w:tc>
        <w:tc>
          <w:tcPr>
            <w:tcW w:w="4202" w:type="dxa"/>
            <w:noWrap w:val="0"/>
            <w:vAlign w:val="center"/>
          </w:tcPr>
          <w:p w14:paraId="4E66F87F">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开户银行：</w:t>
            </w:r>
          </w:p>
        </w:tc>
      </w:tr>
      <w:tr w14:paraId="78116CA4">
        <w:tblPrEx>
          <w:tblCellMar>
            <w:top w:w="0" w:type="dxa"/>
            <w:left w:w="108" w:type="dxa"/>
            <w:bottom w:w="0" w:type="dxa"/>
            <w:right w:w="108" w:type="dxa"/>
          </w:tblCellMar>
        </w:tblPrEx>
        <w:trPr>
          <w:trHeight w:val="567" w:hRule="exact"/>
          <w:jc w:val="center"/>
        </w:trPr>
        <w:tc>
          <w:tcPr>
            <w:tcW w:w="4201" w:type="dxa"/>
            <w:noWrap w:val="0"/>
            <w:vAlign w:val="center"/>
          </w:tcPr>
          <w:p w14:paraId="215DA619">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日期：</w:t>
            </w:r>
          </w:p>
        </w:tc>
        <w:tc>
          <w:tcPr>
            <w:tcW w:w="4202" w:type="dxa"/>
            <w:noWrap w:val="0"/>
            <w:vAlign w:val="center"/>
          </w:tcPr>
          <w:p w14:paraId="7ED7D3FE">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日期：</w:t>
            </w:r>
          </w:p>
        </w:tc>
      </w:tr>
      <w:bookmarkEnd w:id="2"/>
    </w:tbl>
    <w:p w14:paraId="3DA4B6F7">
      <w:pPr>
        <w:keepNext w:val="0"/>
        <w:keepLines w:val="0"/>
        <w:pageBreakBefore w:val="0"/>
        <w:widowControl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60E55">
    <w:pPr>
      <w:pStyle w:val="9"/>
      <w:tabs>
        <w:tab w:val="left" w:pos="2535"/>
        <w:tab w:val="clear" w:pos="4153"/>
        <w:tab w:val="clear" w:pos="8306"/>
      </w:tabs>
      <w:rPr>
        <w:rFonts w:ascii="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BEDF">
    <w:pP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091F26"/>
    <w:rsid w:val="029C1412"/>
    <w:rsid w:val="03155BB6"/>
    <w:rsid w:val="04675137"/>
    <w:rsid w:val="047E2BDC"/>
    <w:rsid w:val="04AD7ABA"/>
    <w:rsid w:val="07554228"/>
    <w:rsid w:val="076E1A01"/>
    <w:rsid w:val="08B82EF3"/>
    <w:rsid w:val="0CA43C19"/>
    <w:rsid w:val="14B37887"/>
    <w:rsid w:val="1E8D5F3B"/>
    <w:rsid w:val="20045859"/>
    <w:rsid w:val="22AF0896"/>
    <w:rsid w:val="22FB2867"/>
    <w:rsid w:val="22FE48A1"/>
    <w:rsid w:val="23002CC8"/>
    <w:rsid w:val="27E25577"/>
    <w:rsid w:val="29E259F5"/>
    <w:rsid w:val="2A3777B9"/>
    <w:rsid w:val="2CF40789"/>
    <w:rsid w:val="2D23061C"/>
    <w:rsid w:val="2DB155D6"/>
    <w:rsid w:val="2F193C67"/>
    <w:rsid w:val="30332969"/>
    <w:rsid w:val="305425A9"/>
    <w:rsid w:val="32F94991"/>
    <w:rsid w:val="34651AF2"/>
    <w:rsid w:val="349A62B5"/>
    <w:rsid w:val="34FC549D"/>
    <w:rsid w:val="366E3E9D"/>
    <w:rsid w:val="373C112C"/>
    <w:rsid w:val="3A102E54"/>
    <w:rsid w:val="3B6E0E98"/>
    <w:rsid w:val="3DF24001"/>
    <w:rsid w:val="435720D9"/>
    <w:rsid w:val="459B04FB"/>
    <w:rsid w:val="46784A78"/>
    <w:rsid w:val="475F17EC"/>
    <w:rsid w:val="4B7C075F"/>
    <w:rsid w:val="4D6132AA"/>
    <w:rsid w:val="4E0B7D9B"/>
    <w:rsid w:val="50CA2930"/>
    <w:rsid w:val="58907E91"/>
    <w:rsid w:val="58DF3ACC"/>
    <w:rsid w:val="59C3741A"/>
    <w:rsid w:val="5B1E7567"/>
    <w:rsid w:val="5C440896"/>
    <w:rsid w:val="623C6124"/>
    <w:rsid w:val="68FC4253"/>
    <w:rsid w:val="690A53D6"/>
    <w:rsid w:val="6AF83D38"/>
    <w:rsid w:val="6DCD63FD"/>
    <w:rsid w:val="6E4E7318"/>
    <w:rsid w:val="6F2463D6"/>
    <w:rsid w:val="714C1C39"/>
    <w:rsid w:val="7312139A"/>
    <w:rsid w:val="756B059A"/>
    <w:rsid w:val="773B10EA"/>
    <w:rsid w:val="78571E88"/>
    <w:rsid w:val="78F637DD"/>
    <w:rsid w:val="7A670C37"/>
    <w:rsid w:val="7B864284"/>
    <w:rsid w:val="7BBB198C"/>
    <w:rsid w:val="7CA10B3D"/>
    <w:rsid w:val="7CEB4E65"/>
    <w:rsid w:val="7DA90C1F"/>
    <w:rsid w:val="7E342B22"/>
    <w:rsid w:val="7EC62364"/>
    <w:rsid w:val="7EF37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4"/>
    <w:qFormat/>
    <w:uiPriority w:val="0"/>
    <w:pPr>
      <w:keepNext/>
      <w:widowControl w:val="0"/>
      <w:jc w:val="center"/>
      <w:outlineLvl w:val="0"/>
    </w:pPr>
    <w:rPr>
      <w:rFonts w:ascii="黑体" w:eastAsia="黑体"/>
      <w:sz w:val="28"/>
    </w:rPr>
  </w:style>
  <w:style w:type="paragraph" w:styleId="4">
    <w:name w:val="heading 2"/>
    <w:basedOn w:val="1"/>
    <w:next w:val="1"/>
    <w:qFormat/>
    <w:uiPriority w:val="0"/>
    <w:pPr>
      <w:keepNext/>
      <w:widowControl w:val="0"/>
      <w:spacing w:line="720" w:lineRule="exact"/>
      <w:outlineLvl w:val="1"/>
    </w:pPr>
    <w:rPr>
      <w:rFonts w:ascii="黑体" w:hAnsi="黑体" w:eastAsia="楷体_GB2312"/>
      <w:sz w:val="28"/>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6">
    <w:name w:val="Normal Indent"/>
    <w:basedOn w:val="1"/>
    <w:qFormat/>
    <w:uiPriority w:val="0"/>
    <w:pPr>
      <w:ind w:firstLine="420"/>
    </w:pPr>
    <w:rPr>
      <w:szCs w:val="21"/>
    </w:rPr>
  </w:style>
  <w:style w:type="paragraph" w:styleId="7">
    <w:name w:val="annotation text"/>
    <w:basedOn w:val="1"/>
    <w:qFormat/>
    <w:uiPriority w:val="0"/>
    <w:pPr>
      <w:jc w:val="left"/>
    </w:pPr>
  </w:style>
  <w:style w:type="paragraph" w:styleId="8">
    <w:name w:val="Plain Text"/>
    <w:basedOn w:val="1"/>
    <w:next w:val="1"/>
    <w:qFormat/>
    <w:uiPriority w:val="0"/>
    <w:rPr>
      <w:rFonts w:ascii="宋体"/>
    </w:rPr>
  </w:style>
  <w:style w:type="paragraph" w:styleId="9">
    <w:name w:val="footer"/>
    <w:basedOn w:val="1"/>
    <w:qFormat/>
    <w:uiPriority w:val="0"/>
    <w:pPr>
      <w:tabs>
        <w:tab w:val="center" w:pos="4153"/>
        <w:tab w:val="right" w:pos="8306"/>
      </w:tabs>
      <w:snapToGrid w:val="0"/>
      <w:jc w:val="left"/>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3">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14">
    <w:name w:val="标题 1 Char"/>
    <w:link w:val="3"/>
    <w:qFormat/>
    <w:uiPriority w:val="0"/>
    <w:rPr>
      <w:rFonts w:ascii="黑体" w:eastAsia="黑体"/>
      <w:sz w:val="28"/>
    </w:rPr>
  </w:style>
  <w:style w:type="paragraph" w:customStyle="1" w:styleId="15">
    <w:name w:val="p0"/>
    <w:basedOn w:val="1"/>
    <w:qFormat/>
    <w:uiPriority w:val="0"/>
    <w:pPr>
      <w:widowControl/>
      <w:jc w:val="left"/>
    </w:pPr>
    <w:rPr>
      <w:rFonts w:ascii="Calibri" w:hAnsi="Calibri"/>
      <w:kern w:val="0"/>
      <w:szCs w:val="21"/>
    </w:rPr>
  </w:style>
  <w:style w:type="paragraph" w:customStyle="1" w:styleId="16">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List Paragraph"/>
    <w:basedOn w:val="1"/>
    <w:qFormat/>
    <w:uiPriority w:val="0"/>
    <w:pPr>
      <w:ind w:firstLine="200" w:firstLineChars="200"/>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2258</Words>
  <Characters>2292</Characters>
  <Lines>0</Lines>
  <Paragraphs>0</Paragraphs>
  <TotalTime>0</TotalTime>
  <ScaleCrop>false</ScaleCrop>
  <LinksUpToDate>false</LinksUpToDate>
  <CharactersWithSpaces>2414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2023-07-26T09:00:00Z</dcterms:created>
  <dc:creator>hc618</dc:creator>
  <cp:lastModifiedBy>陕西华采招标有限公司</cp:lastModifiedBy>
  <cp:lastPrinted>2025-04-01T07:59:00Z</cp:lastPrinted>
  <dcterms:modified xsi:type="dcterms:W3CDTF">2026-06-30T03:19:02Z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9E724B8E9A8F48279104D4476B7E9153_13</vt:lpwstr>
  </property>
  <property fmtid="{D5CDD505-2E9C-101B-9397-08002B2CF9AE}" pid="4" name="KSOTemplateDocerSaveRecord">
    <vt:lpwstr>eyJoZGlkIjoiZWMxNWU5MTM1NDJhMzM3NzZlNjAyMmRiMjcyMmY4OWYiLCJ1c2VySWQiOiI5MzY1NjA0ODAifQ==</vt:lpwstr>
  </property>
</Properties>
</file>