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版本号：JXRC-260317-220260507001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口腔科专用设备采购项目(二次)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JXRC-260317-2</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口腔科专用设备采购项目(二次)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JXRC-260317-2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口腔科专用设备采购项目(二次)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根据医院口腔科因科室诊疗需求，需购置口腔诊疗设备1批。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采购包1（口腔科专用设备采购项目）：属于专门面向中小企业采购。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p>
      <w:pPr>
        <w:pStyle w:val="null3"/>
      </w:pPr>
      <w:r>
        <w:rPr>
          <w:rFonts w:ascii="仿宋_GB2312" w:hAnsi="仿宋_GB2312" w:cs="仿宋_GB2312" w:eastAsia="仿宋_GB2312"/>
        </w:rPr>
        <w:t>3、供应商应有依法缴纳税收的良好记录：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6、无重大违法记录：供应商须提供《无重大违法记录声明》。</w:t>
      </w:r>
    </w:p>
    <w:p>
      <w:pPr>
        <w:pStyle w:val="null3"/>
      </w:pPr>
      <w:r>
        <w:rPr>
          <w:rFonts w:ascii="仿宋_GB2312" w:hAnsi="仿宋_GB2312" w:cs="仿宋_GB2312" w:eastAsia="仿宋_GB2312"/>
        </w:rPr>
        <w:t>7、履约能力证明：供应商须提供《具有履行合同所必需的设备和专业技术能力的承诺书》。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并进行电子签章。</w:t>
      </w:r>
    </w:p>
    <w:p>
      <w:pPr>
        <w:pStyle w:val="null3"/>
      </w:pPr>
      <w:r>
        <w:rPr>
          <w:rFonts w:ascii="仿宋_GB2312" w:hAnsi="仿宋_GB2312" w:cs="仿宋_GB2312" w:eastAsia="仿宋_GB2312"/>
        </w:rPr>
        <w:t>9、医疗器械注册证：供应商所投产品属于医疗器械的须提供拟投产品有效的医疗器械注册证或备案凭证，并进行电子签章。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曲慧、陆频、田颖琦、张海、陈利娜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单位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2）所供产品与合同不符或验收不合格的；（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联系人：曲慧、田颖琦</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根据</w:t>
      </w:r>
      <w:r>
        <w:rPr>
          <w:rFonts w:ascii="仿宋_GB2312" w:hAnsi="仿宋_GB2312" w:cs="仿宋_GB2312" w:eastAsia="仿宋_GB2312"/>
          <w:sz w:val="24"/>
        </w:rPr>
        <w:t>医</w:t>
      </w:r>
      <w:r>
        <w:rPr>
          <w:rFonts w:ascii="仿宋_GB2312" w:hAnsi="仿宋_GB2312" w:cs="仿宋_GB2312" w:eastAsia="仿宋_GB2312"/>
          <w:sz w:val="24"/>
        </w:rPr>
        <w:t>院口腔科因科室诊疗需求，需购置口腔诊疗设备</w:t>
      </w:r>
      <w:r>
        <w:rPr>
          <w:rFonts w:ascii="仿宋_GB2312" w:hAnsi="仿宋_GB2312" w:cs="仿宋_GB2312" w:eastAsia="仿宋_GB2312"/>
          <w:sz w:val="24"/>
        </w:rPr>
        <w:t>1</w:t>
      </w:r>
      <w:r>
        <w:rPr>
          <w:rFonts w:ascii="仿宋_GB2312" w:hAnsi="仿宋_GB2312" w:cs="仿宋_GB2312" w:eastAsia="仿宋_GB2312"/>
          <w:sz w:val="24"/>
        </w:rPr>
        <w:t>批。</w:t>
      </w:r>
    </w:p>
    <w:tbl>
      <w:tblPr>
        <w:tblW w:w="0" w:type="auto"/>
        <w:tblBorders>
          <w:top w:val="none" w:color="000000" w:sz="4"/>
          <w:left w:val="none" w:color="000000" w:sz="4"/>
          <w:bottom w:val="none" w:color="000000" w:sz="4"/>
          <w:right w:val="none" w:color="000000" w:sz="4"/>
          <w:insideH w:val="none"/>
          <w:insideV w:val="none"/>
        </w:tblBorders>
      </w:tblPr>
      <w:tblGrid>
        <w:gridCol w:w="721"/>
        <w:gridCol w:w="2854"/>
        <w:gridCol w:w="901"/>
        <w:gridCol w:w="901"/>
        <w:gridCol w:w="1262"/>
        <w:gridCol w:w="811"/>
        <w:gridCol w:w="856"/>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8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单位</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2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单价限价</w:t>
            </w:r>
            <w:r>
              <w:rPr>
                <w:rFonts w:ascii="仿宋_GB2312" w:hAnsi="仿宋_GB2312" w:cs="仿宋_GB2312" w:eastAsia="仿宋_GB2312"/>
                <w:sz w:val="24"/>
              </w:rPr>
              <w:t>(</w:t>
            </w:r>
            <w:r>
              <w:rPr>
                <w:rFonts w:ascii="仿宋_GB2312" w:hAnsi="仿宋_GB2312" w:cs="仿宋_GB2312" w:eastAsia="仿宋_GB2312"/>
                <w:sz w:val="24"/>
              </w:rPr>
              <w:t>万元</w:t>
            </w:r>
            <w:r>
              <w:rPr>
                <w:rFonts w:ascii="仿宋_GB2312" w:hAnsi="仿宋_GB2312" w:cs="仿宋_GB2312" w:eastAsia="仿宋_GB2312"/>
                <w:sz w:val="24"/>
              </w:rPr>
              <w:t>)</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合计限价（万元）</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口腔颌面锥形束</w:t>
            </w:r>
            <w:r>
              <w:rPr>
                <w:rFonts w:ascii="仿宋_GB2312" w:hAnsi="仿宋_GB2312" w:cs="仿宋_GB2312" w:eastAsia="仿宋_GB2312"/>
                <w:sz w:val="24"/>
              </w:rPr>
              <w:t>CT</w:t>
            </w:r>
            <w:r>
              <w:rPr>
                <w:rFonts w:ascii="仿宋_GB2312" w:hAnsi="仿宋_GB2312" w:cs="仿宋_GB2312" w:eastAsia="仿宋_GB2312"/>
                <w:sz w:val="24"/>
              </w:rPr>
              <w:t>（</w:t>
            </w:r>
            <w:r>
              <w:rPr>
                <w:rFonts w:ascii="仿宋_GB2312" w:hAnsi="仿宋_GB2312" w:cs="仿宋_GB2312" w:eastAsia="仿宋_GB2312"/>
                <w:sz w:val="24"/>
              </w:rPr>
              <w:t>CBCT</w:t>
            </w:r>
            <w:r>
              <w:rPr>
                <w:rFonts w:ascii="仿宋_GB2312" w:hAnsi="仿宋_GB2312" w:cs="仿宋_GB2312" w:eastAsia="仿宋_GB2312"/>
                <w:sz w:val="24"/>
              </w:rPr>
              <w:t>）</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30.2</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30.2</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28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口腔综合治疗台</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3.2</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28.8</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西安市中心医院口腔科专用设备采购项目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标的名称：西安市中心医院口腔科专用设备采购项目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一、口腔颌面锥形束CT（CBCT） （一）设备要求 适用于成人及儿童口腔系统的X线诊断分析，具备CBCT、全景、头颅扫描、牙科摄影等拍摄功能；提供配套原厂口腔数字化影像软件1套和正畸处理软件1套。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（二）主要功能要求与技术参数 1. X射线发生器 1.1 X射线曝光模式：连续或脉冲式锥形束曝光；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1.2 最小焦点：≤0.5 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1.3 最小管电流：≤2mA；最大管电流：≥10mA</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1.4 最低管电压：≥60 kV；最高管电压：≥100 kV</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1.5 具备快速/标准/高清拍摄模式可选，最小加载时间：≤10s</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1.6 全景和侧位拍摄最小加载时间：≤10s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 探测器 2.1 探测器数量≥2 ，全景拍摄和CT扫描模式探测器自动切换，拍摄头侧时不需要拆卸平板探测器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2.2 探测器类型：CSI+TFT；面积≥15cm×15cm；</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 单圈成像最大视野FOV)：≥16cm（直径）×10cm（高），图像最小重建体素≤40μm</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2.4扫描成像空间分辨率：≥2.8 lp/mm；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2.5 2D全景扫描成像空间分辨率：≥4.0 lp/mm；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2.6 2D侧位扫描成像空间分辨率：≥4.0 lp/mm；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2.7 3D CBCT图像拍摄最小辐射剂量（E）≤6μSv</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 机械装置 3.1 摆位定位设计：摆位时立柱升降高度范围≥70cm；CT/全景摆位过程中受检者侧对立柱（非镜面反射）设计，头颅侧位臂上具备独立的上升下降控制按键，具备侧位拍摄；</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3.2 激光线定位线数量：≥6条；</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3.3 触控式液晶控制面板≥9英寸；</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3.4 口内摄影(牙片)：采用外置牙片装置拍摄，具备专用球管，管电压可调，最小管电压≤60kV，管电流≤5 mA。</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4. 软件功能要求 4.1 基本功能需求：具备CBCT、2D全景、2D头颅扫描等独立拍摄功能；具备放大镜功能：对整个显示界面提供区域放大显示功能，放大倍数可随鼠标滚动调整，随光标移动区域实时放大查看细节。</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4.2 3D重建视图：三维重建视图颜色可自定义调节。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4.3 CBCT影像局部重建：在MPR界面的原始CBCT图像上选择感兴趣区域，生成局部DICOM格式新CBCT影像（非图像格式2D截图）。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4.4 灯箱显示：种植多切片灯箱显示支持8x8以上矩阵层面显示，MPR界面横断面、冠状面、矢状面三个界面灯箱显示可同时打开和独立滚动查看。</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4.5 三维图像配准叠加：通过配准叠加选项，一键对两幅CBCT三维影像进行配准叠加对比显示。</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4.6 智能模拟拔牙：一键完成全口牙齿的识别，自动分割并伪彩显示，在拔牙前控制原位单颗或多颗牙齿影像的显隐。</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4.7 模拟种植：可在种植体库中选择合适的种植体长度、直径；设计种植体植入位置及植入方向，在模拟拔牙后可实现单颗或多颗种植体一键自动插入对应模拟拔牙牙位。种植体间或种植体与神经管间的距离低于安全范围可自动预警，安全范围可调节。</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4.8 具备智能牙齿根管分割: 根据CBCT影像快速、准确地识别单颗、多颗或全口牙根管的位置、形态和结构，一键完成单颗、多颗或全口牙根管的自动分割并伪彩显示。</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4.9 具备智能骨粉量预估：通过骨粉量预估功能选项，一键标定并计算，排除真实骨质骨量的干扰完成目标区域所需骨粉填充体积的预估。目标区域范围通过3D球体立体选取，具备球体颜色、大小、位置、透明度的修改，具备多目标区域多次预估，预估结果事实呈现在右侧控制面板。</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4.10自动神经管和舌侧管：具备自动检测并标注神经管功能；具备自动检测并标注舌侧管功能。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4.11 上颌窦分析：一键自动识别双侧上颌窦、自动分割并伪彩显示，同步显示双侧上颌窦体积计算和结果显示。</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4.12 气道分析：一键自动识别气道、分割并伪彩显示，同步显示气道狭部最小截面积计算和结果显示。</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4.13 颌骨分析：一键自动识别上、下颌骨，分割并伪彩显示，并可导出STL数据。</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4.14 头影测量正畸处理软件具备独立NMPA注册。</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4.15 智能颈椎骨龄预测：具备定量分析导航图。</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4.16 全景病症分析：可自动识别全景片各牙齿轮廓并标注牙位信息，自动识别缺失牙及智齿，可选中牙位选择对应病症，输出报告。</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4.17 影像诊断功能：标准轴向裁切视图、曲面重建 (VPR) 影像、垂直曲面断层影像、任意角度裁切视图、3D视图、图像输出、下颌神经管绘制及着色、种植体模拟植入。</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4.18 具备曲面裁切和斜面裁切模式。</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5. 数据管理及相关功能 5.1 数据传输：负责将设备接入医院局域网。</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5.2 刻录功能：支持将患者数据和影像浏览程序导出到输出介质（光碟、U盘等）</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5.3 配置拍摄工作站品牌电脑一台（含显示器≥23英寸；主机内存≥16GB；硬盘容量≥8TB；显卡显存≥8GB）。</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5.4设备有限使用期限≥15年</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二、口腔综合治疗台 （一） 安装要求： 内置式地箱，下挂式器械盘,使用期限≥15年</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(二)产品功能参数 1、原厂光纤高速手机1支：带光快换接头式，具有水路“防回吸”功能，端面四孔喷雾,光照度大于25000lux，可进行135℃高温高压蒸汽灭菌，转速≥ 30万转/分钟。（提供注册证）</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2、原厂高速手机1支：端面四孔喷雾，可进行135℃高温高压蒸汽灭菌，转速≥30万转/分钟。（提供注册证）</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3、原厂气动低速手机1套：含直机、弯机、马达，转速≥20000转/分钟，可进行135℃高温高压蒸汽灭菌。（提供注册证）</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4、三用枪2支：枪头可进行135℃高温高压蒸汽灭菌。</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5、医生操作台： 5.1、医生位配置有全电脑触摸控制面板，至少包括：设置键、观片灯键、复位键、水杯加热键、管路消毒键、口腔灯键、漱口水键、冲盂水键、痰位键、急救位键、一键下班位键、牙椅升、降、俯、仰键、医生选择键、3组医生椅位记忆按键。</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5.2、医生位配置有≥3.5英寸彩色显示屏，可显示牙椅运行状态、智能联动、用户选择显示、水温精准调节和显示，消毒进度显示、故障代码显示。</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5.3、器械盘侧面外置可视气压表、总气开关及独立式水量调节旋钮。</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5.4、具备痰位和杯水冲盂联动、口腔灯和牙科椅联动、漱口水和冲盂联动。</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5.5、配有洁牙机1套。</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6、助手操作台： 6.1、多关节的助手架方便使用，可水平旋转，垂直抽拉。</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6.2、助手位配置有全电脑触摸控制面板，至少包括口腔灯键、漱口水键、冲盂水键、复位键、痰位键、下班键以及牙椅升、降、俯、仰键</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6.3、助手单元有≥4个器械挂架：三用枪、强吸、弱吸等。</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6.4、助手位三用枪、光固化机与强、弱吸手柄两组枪架均可根据用户需求进行向前倾斜≥20°范围，。每个器械挂架采用光电开关控制，均可独立旋转三个档位，可独立调节角度。</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7、感应式LED口腔灯： 7.1、操作模式：自动感应。</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7.2、口腔灯开启与关闭也可通过医生控制台、助手控制台、脚开关三个位置。</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7.3、口腔灯采用无级调光。</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7.4、口腔灯电压：AC24V；功率：12VA；照度：4000lux—40000lux；可进行四档色温循环切换，指示灯跟随档位变换，灯具开启时将启用上次关闭时或断电时的状态来工作。</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8、痰盂：可拆卸陶瓷痰盂，痰盂整体可向内、向外各旋转≥90度。</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9、器械盘： 9.1、气锁功能下挂式器械盘。</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9.2、设有总气开关。</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9.3、独立防脱式枪架≥5联，枪架可向器械盘内旋转≥55°，可向器械盘外旋转≥35°。</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10、主箱体：内部为整体金属框架，外壳为高分子材料，主箱体可向外旋转≥90°。</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11、净化水系统：采用手动泻压与增压，可灵活选择自来水或纯净水；外置式纯净水瓶设计和气开关加水。</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12、冲盂漱口定量给水自动控制系统：电磁阀控制冲盂、漱口水，可设定给水时间，漱口水配有可自动加热恒温系统，水温40℃±5℃。</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13、牙科（患者）椅： 13.1、牙椅采用直流∕变频∕调速系统，低压直流电机具有升降瞬间延时功能。</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13.2、牙科椅整体采用金属材质骨架和底座，整体注塑外壳工艺制成，靠背背板与牙椅框架整体连接。</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13.3、采用搭扣形式连接的靠背和座垫。</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13.4、牙椅座椅和靠背联动设计，靠背运动 -5°～ 60°。</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13.5、牙椅的升降范围： 410mm～750mm。</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13.6、牙科椅承载能力≥150Kg，牙椅皮垫采用进口优质皮革面料一次压注成型。</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13.7、双扶手设计，座椅右扶手为前翻式设计，扶手连接处位于椅身中部。</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13.8、牙科椅底板罩壳后方安装有椅位控制开关，可控制牙椅升、降、俯、仰运动。</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14、脚控开关： 14.1、可控制高速手机、低速手机、洁牙机等动态器械。</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14.2、可控制牙科手机有水/无水操作。</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14.3、可控制牙科手机清洁气操作。</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14.4、可控制口腔灯的开启和关闭。</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15、安全保障： 15.1、牙椅具有安全保护功能。</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15.2、牙椅具有即停功能。</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15.3、当手机工作时，牙科椅被自动锁定。</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15.4、具备急停功能。</w:t>
            </w:r>
          </w:p>
        </w:tc>
      </w:tr>
      <w:tr>
        <w:tc>
          <w:tcPr>
            <w:tcW w:type="dxa" w:w="2769"/>
          </w:tcPr>
          <w:p>
            <w:pPr>
              <w:pStyle w:val="null3"/>
            </w:pPr>
            <w:r>
              <w:rPr>
                <w:rFonts w:ascii="仿宋_GB2312" w:hAnsi="仿宋_GB2312" w:cs="仿宋_GB2312" w:eastAsia="仿宋_GB2312"/>
              </w:rPr>
              <w:t>82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16、全自动管路消毒： 自动消毒，消毒范围包含医生位手机、三用枪、洁牙机等所有器械。一键即可实现水路管路消毒或一键水管路冲洗。</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17、同品牌医生座椅1套：座椅高度可调节，最低椅位425mm，行程120mm，座垫可在水平面内360°灵活旋转；座垫旋转靠背旋转采用不同轴。</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三、单台配置清单 1、治疗机 1套 2、电动驱动牙科椅 1套 3、下挂式医生工作台 1套 4、感应LED冷光灯 1套 5、可旋转连体侧箱 1套 6、可拆卸式痰盂 1套 7、多功能脚踏开关 1套 8、内置热水系统 1套 9、液晶显示屏1套 10、高速手机 2支 11、气动低速手机 1套 12、三用枪 2套 13、机装式洁牙机1套（手柄3把） 14、强、弱吸系统 各1 套 15、纯净水系统 1套 16、医师椅1套</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设备有限使用期限≥15年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（一）口腔颌面锥形束CT（CBCT）： 30天内供货，负责场地改造及网络系统接口调试，相关人员培训，协助采购人取得放射诊疗许可证和辐射安全许可证，由此产生的费用由供应商承担。 （二）口腔综合治疗台：30天内供货，负责安装、调试、培训。</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货物到达甲方指定地点，运输、安装、调试、第一次验收合格后（第一次验收要求乙方按合同约定提供货物，安装调试完成，确保设备能够正常运行）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从第一次验收合格之日起满12个月后，如无质量、服务等问题，进行第二次验收，二次验收合格收到乙方发票后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第一次验收合格之日起满60个月后，如无质量、服务等问题进行第三次验收，三次验收合格收到乙方发票后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（三）甲方确认接收乙方的自检内容后，进行验收（必要时请有关专家，由乙方承担聘请专家的费用），验收合格后，由乙方对甲方操作人员进行培训，完成培训后，甲方填写验收单作为对货物的最终认可。 （四）乙方向甲方提交货物实施过程中的所有资料。以便甲方日后管理和维护。 （五）货物验收时必须提供海关证明，验收15日内完成商检手续办理。 （六）设备验收时需提供附带市级法定机构出具的计量检定/校准证书。 （七）验收依据： 1、本合同及合同附件。 2、国家相应的标准、规范。 3、招标文件、投标文件、中标通知书、澄清表（函）。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设备整机质保≥5年，供应商承诺超过采购文件要求的，按其承诺的质保期进行质保。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 （一）质保期内： 1、发生质量问题，接到甲方通知后，应于当日派出专业的维修人员到现场进行检测维修，发生的全部费用由乙方承担，若需送回生产厂，乙方承担往返费用； 2、每年四次派技术人员到现场走访，给予检查维护； 3、排除故障的期限不超过48小时。否则甲方有权指定第三方维修，维修费用由乙方承担，甲方有权直接从未付合同款中扣除，未付合同款无法支付全部维修费用的，超出部分由乙方另行承担。 （二）质保期结束前，进行系统测试，全面保养维护，确保正常运行。 二、对本国产品给予价格评审优惠：投标人提供的均为本国产品或当采购项目或者采购包中含有多种产品，投标人为该采购项目或者采购包提供的符合本国产品标准的产品成本之和占该投标人提供的全部产品成本之和的比例达到80%以上时，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商务响应偏离表 投标方案 分项报价表 技术响应偏离表 中小企业声明函 供应商业绩 响应文件封面 其他材料 供应商基本信息 供应商企业关联关系声明函 关于符合本国产品标准的声明函 供应商承诺书 响应函 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第一次磋商报价不得超过最高限价。</w:t>
            </w:r>
          </w:p>
        </w:tc>
        <w:tc>
          <w:tcPr>
            <w:tcW w:type="dxa" w:w="1661"/>
          </w:tcPr>
          <w:p>
            <w:pPr>
              <w:pStyle w:val="null3"/>
            </w:pPr>
            <w:r>
              <w:rPr>
                <w:rFonts w:ascii="仿宋_GB2312" w:hAnsi="仿宋_GB2312" w:cs="仿宋_GB2312" w:eastAsia="仿宋_GB2312"/>
              </w:rPr>
              <w:t>分项报价表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“▲”号技术指标（共7项，满分14分）为重点技术指标，每不满足一项扣2分； 非“▲”号技术指标（共78项，满分16分），负偏离一项扣0.2分。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 对非“▲”的技术参数投标人在投标文件中应尽可能多地提供技术支持资料予以证明其技术指标响应性（包括但不限于彩色样本或产品说明书或检验报告等），并在技术响应偏离表中标注对应页码及位置。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 设备选型方案思路清晰、科学合理、可行性强、完全满足采购人需求得6分；设备选型方案思路清晰、科学合理、可行性较强、满足采购人需求得4分；设备选型方案合理完善、可行性较强、基本满足采购人需求得2分；设备选型方案有缺漏项、可行性一般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供应商可根据自身情况提供以下资料中的任意一种： 1、如供应商为所投产品代理商：提供货物的合法来源渠道证明文件（例如：产品制造商授权、销售协议、代理协议等证明文件）。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 提供一份得2分，未提供得0分。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提供自2023年1月1日至投标文件递交截止时间前（以合同签订时间为准）所投产品销售业绩（完整合同复印件）。 1.合同内容包括本项目核心产品（口腔颌面锥形束CT（CBCT））的，每提供一份得1分，最高不超过3分； 2.合同内容包括本项目非核心产品的，每提供一份得0.5分，最多不超过2分。 注：响应文件中须提供完整有效的合同复印件；复印件加盖供应商公章，原件备查。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