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1E200">
      <w:pPr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具有独立承担民事责任能力</w:t>
      </w:r>
    </w:p>
    <w:p w14:paraId="7F16BF97"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eastAsia="zh-CN"/>
        </w:rPr>
        <w:t>（若为联合体，联合体成员都需满足）</w:t>
      </w:r>
    </w:p>
    <w:p w14:paraId="2B947995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企业法人应提供合法有效的标识有统一社会信用代码的营业执照；事业法人应提供事业单位法人证书；其他组织应提供合法登记证明文件,自然人提供身份证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1583915A">
      <w:pPr>
        <w:ind w:firstLine="560" w:firstLineChars="200"/>
        <w:jc w:val="left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若是分支机构参与投标,须提供总公司和分支机构的营业执照。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（以上内容投标文件中提供复印件或扫描件并进行电子签章）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49F72CE2"/>
    <w:rsid w:val="55EA456B"/>
    <w:rsid w:val="5842572D"/>
    <w:rsid w:val="6F3225A4"/>
    <w:rsid w:val="711B525F"/>
    <w:rsid w:val="75EE70E6"/>
    <w:rsid w:val="7CF5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137</Characters>
  <Lines>0</Lines>
  <Paragraphs>0</Paragraphs>
  <TotalTime>0</TotalTime>
  <ScaleCrop>false</ScaleCrop>
  <LinksUpToDate>false</LinksUpToDate>
  <CharactersWithSpaces>137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2026-08-18T09:03:48Z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5556E5BFBF21467CB69A06B107C511FC_11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