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6A923">
      <w:pPr>
        <w:pStyle w:val="11"/>
        <w:widowControl/>
        <w:rPr>
          <w:rFonts w:ascii="Times New Roman" w:hAnsi="Times New Roman" w:eastAsia="黑体" w:cs="Times New Roman"/>
          <w:b w:val="0"/>
          <w:bCs w:val="0"/>
          <w:sz w:val="44"/>
        </w:rPr>
      </w:pPr>
      <w:r>
        <w:rPr>
          <w:rFonts w:ascii="Times New Roman" w:hAnsi="Times New Roman" w:eastAsia="黑体" w:cs="Times New Roman"/>
          <w:b w:val="0"/>
          <w:bCs w:val="0"/>
          <w:sz w:val="44"/>
        </w:rPr>
        <w:t>西安市长安区医院蒸汽锅炉运维服务合同</w:t>
      </w:r>
    </w:p>
    <w:p w14:paraId="35384922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甲方（委托方）：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西安市长安区医院</w:t>
      </w:r>
    </w:p>
    <w:p w14:paraId="45159FA7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统一社会信用代码：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____________________</w:t>
      </w:r>
    </w:p>
    <w:p w14:paraId="15C37D7E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地址：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西安市长安区郭杜街道文苑中路120号</w:t>
      </w:r>
    </w:p>
    <w:p w14:paraId="7F68A5AB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法定代表人：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</w:t>
      </w:r>
    </w:p>
    <w:p w14:paraId="666D3594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联系人：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  </w:t>
      </w:r>
    </w:p>
    <w:p w14:paraId="3C199900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联系电话：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</w:t>
      </w:r>
    </w:p>
    <w:p w14:paraId="56A8BC2B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乙方（受托方）：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____________________</w:t>
      </w:r>
    </w:p>
    <w:p w14:paraId="1BE9A343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统一社会信用代码：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____________________</w:t>
      </w:r>
    </w:p>
    <w:p w14:paraId="603E708A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地址：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____________________</w:t>
      </w:r>
    </w:p>
    <w:p w14:paraId="2FF80C43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法定代表人：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</w:t>
      </w:r>
    </w:p>
    <w:p w14:paraId="6F8ED54A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b w:val="0"/>
          <w:i w:val="0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联系人：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  </w:t>
      </w:r>
    </w:p>
    <w:p w14:paraId="07C1E9E0">
      <w:pPr>
        <w:pStyle w:val="9"/>
        <w:widowControl/>
        <w:ind w:left="0" w:leftChars="0" w:firstLine="482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联系电话：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___________</w:t>
      </w:r>
    </w:p>
    <w:p w14:paraId="450072A0">
      <w:pPr>
        <w:pStyle w:val="9"/>
        <w:widowControl/>
        <w:ind w:left="0" w:leftChars="0" w:firstLine="480" w:firstLineChars="200"/>
        <w:rPr>
          <w:rFonts w:ascii="Times New Roman" w:hAnsi="Times New Roman" w:eastAsia="宋体" w:cs="Times New Roman"/>
          <w:b w:val="0"/>
          <w:bCs w:val="0"/>
          <w:sz w:val="24"/>
        </w:rPr>
      </w:pPr>
      <w:r>
        <w:rPr>
          <w:rFonts w:ascii="Times New Roman" w:hAnsi="Times New Roman" w:eastAsia="宋体" w:cs="Times New Roman"/>
          <w:b w:val="0"/>
          <w:bCs w:val="0"/>
          <w:i w:val="0"/>
          <w:sz w:val="24"/>
        </w:rPr>
        <w:t>根据《中华人民共和国民法典》、《中华人民共和国特种设备安全法》及相关法律法规，甲乙双方经友好协商，就甲方委托乙方提供锅炉运维服务事宜达成如下协议：</w:t>
      </w:r>
    </w:p>
    <w:p w14:paraId="526E534D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项目概况与服务目标</w:t>
      </w:r>
    </w:p>
    <w:p w14:paraId="6F0B4162">
      <w:pPr>
        <w:pStyle w:val="9"/>
        <w:widowControl/>
        <w:numPr>
          <w:ilvl w:val="0"/>
          <w:numId w:val="2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项目概况：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甲方将院内两台3吨天然气蒸汽锅炉的运行管理、维护保养、检验维修及备品备件管理等全周期技术服务委托给乙方。</w:t>
      </w:r>
    </w:p>
    <w:p w14:paraId="2C30EC23">
      <w:pPr>
        <w:pStyle w:val="9"/>
        <w:widowControl/>
        <w:numPr>
          <w:ilvl w:val="0"/>
          <w:numId w:val="2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服务目标：</w:t>
      </w:r>
    </w:p>
    <w:p w14:paraId="3ACD9DE0">
      <w:pPr>
        <w:pStyle w:val="9"/>
        <w:widowControl/>
        <w:numPr>
          <w:ilvl w:val="0"/>
          <w:numId w:val="2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确保锅炉全年24小时连续稳定运行，可用率≥99%（非计划停机≤48小时/年）；</w:t>
      </w:r>
    </w:p>
    <w:p w14:paraId="1FB89F4C">
      <w:pPr>
        <w:pStyle w:val="9"/>
        <w:widowControl/>
        <w:numPr>
          <w:ilvl w:val="0"/>
          <w:numId w:val="2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符合《特种设备安全监察条例》《锅炉大气污染物排放标准》（DB61/1226-2018）等法规要求；</w:t>
      </w:r>
    </w:p>
    <w:p w14:paraId="3BE64759">
      <w:pPr>
        <w:pStyle w:val="9"/>
        <w:widowControl/>
        <w:numPr>
          <w:ilvl w:val="0"/>
          <w:numId w:val="2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水质达标率100%（蒸汽品质满足GB/T 1576-2018工业锅炉水质标准）。</w:t>
      </w:r>
    </w:p>
    <w:p w14:paraId="63DE5F8C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服务期限</w:t>
      </w:r>
    </w:p>
    <w:p w14:paraId="5CF9E754">
      <w:pPr>
        <w:pStyle w:val="9"/>
        <w:widowControl/>
        <w:numPr>
          <w:ilvl w:val="0"/>
          <w:numId w:val="3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本合同服务周期为 </w:t>
      </w:r>
      <w:r>
        <w:rPr>
          <w:rFonts w:ascii="Times New Roman" w:hAnsi="Times New Roman" w:eastAsia="宋体" w:cs="Times New Roman"/>
          <w:b/>
          <w:i w:val="0"/>
          <w:sz w:val="24"/>
        </w:rPr>
        <w:t>三年</w:t>
      </w:r>
      <w:r>
        <w:rPr>
          <w:rFonts w:ascii="Times New Roman" w:hAnsi="Times New Roman" w:eastAsia="宋体" w:cs="Times New Roman"/>
          <w:b w:val="0"/>
          <w:i w:val="0"/>
          <w:sz w:val="24"/>
        </w:rPr>
        <w:t>，自 ____年__月__日起至 ____年__月__日止。</w:t>
      </w:r>
    </w:p>
    <w:p w14:paraId="648D6AF7">
      <w:pPr>
        <w:pStyle w:val="9"/>
        <w:widowControl/>
        <w:numPr>
          <w:ilvl w:val="0"/>
          <w:numId w:val="3"/>
        </w:numPr>
        <w:tabs>
          <w:tab w:val="left" w:pos="480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考核机制：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自合同生效之日起每满一年为一个考核年度。当期考核年度满前两个月进行考核（考核标准见附件）。甲方可视乙方服务及考核情况报请医院批准，</w:t>
      </w:r>
      <w:r>
        <w:rPr>
          <w:rFonts w:ascii="Times New Roman" w:hAnsi="Times New Roman" w:eastAsia="宋体" w:cs="Times New Roman"/>
          <w:b/>
          <w:i w:val="0"/>
          <w:sz w:val="24"/>
        </w:rPr>
        <w:t>考核不合格的，甲方有权解除本合同而无需承担违约责任。</w:t>
      </w:r>
    </w:p>
    <w:p w14:paraId="20C47B98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合同金额与付款方式</w:t>
      </w:r>
    </w:p>
    <w:p w14:paraId="29325E49">
      <w:pPr>
        <w:pStyle w:val="9"/>
        <w:widowControl/>
        <w:numPr>
          <w:ilvl w:val="0"/>
          <w:numId w:val="4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合同金额：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人民币大写：_____________元整/年。</w:t>
      </w:r>
    </w:p>
    <w:p w14:paraId="0B2813F3">
      <w:pPr>
        <w:pStyle w:val="9"/>
        <w:widowControl/>
        <w:numPr>
          <w:ilvl w:val="0"/>
          <w:numId w:val="4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付款方式：</w:t>
      </w:r>
    </w:p>
    <w:p w14:paraId="42E48D56">
      <w:pPr>
        <w:pStyle w:val="9"/>
        <w:widowControl/>
        <w:numPr>
          <w:ilvl w:val="0"/>
          <w:numId w:val="4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按季度结算。每季度结束后一个月内，甲方进行运维满意度调查考核。</w:t>
      </w:r>
    </w:p>
    <w:p w14:paraId="3C18BE4B">
      <w:pPr>
        <w:pStyle w:val="9"/>
        <w:widowControl/>
        <w:numPr>
          <w:ilvl w:val="0"/>
          <w:numId w:val="4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考核得分≥90分（含），甲方向乙方支付当季度合同费用的25%。</w:t>
      </w:r>
    </w:p>
    <w:p w14:paraId="4C0093AB">
      <w:pPr>
        <w:pStyle w:val="9"/>
        <w:widowControl/>
        <w:numPr>
          <w:ilvl w:val="0"/>
          <w:numId w:val="4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若考核得分&lt;90分，每出现一次，乙方需按当季度运维费用的 </w:t>
      </w:r>
      <w:r>
        <w:rPr>
          <w:rFonts w:ascii="Times New Roman" w:hAnsi="Times New Roman" w:eastAsia="宋体" w:cs="Times New Roman"/>
          <w:b/>
          <w:i w:val="0"/>
          <w:sz w:val="24"/>
        </w:rPr>
        <w:t>3%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向甲方支付违约金。</w:t>
      </w:r>
    </w:p>
    <w:p w14:paraId="121BF17F">
      <w:pPr>
        <w:pStyle w:val="9"/>
        <w:widowControl/>
        <w:numPr>
          <w:ilvl w:val="0"/>
          <w:numId w:val="4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累计超过3次（含）考核低于90分的，甲方有权单方解除合同。</w:t>
      </w:r>
    </w:p>
    <w:p w14:paraId="0EB71543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服务地点</w:t>
      </w:r>
    </w:p>
    <w:p w14:paraId="7A6EFEE7">
      <w:pPr>
        <w:pStyle w:val="9"/>
        <w:widowControl/>
        <w:ind w:left="0" w:leftChars="0" w:firstLine="480" w:firstLineChars="200"/>
        <w:rPr>
          <w:rFonts w:ascii="Times New Roman" w:hAnsi="Times New Roman" w:eastAsia="宋体" w:cs="Times New Roman"/>
          <w:b w:val="0"/>
          <w:bCs w:val="0"/>
          <w:sz w:val="24"/>
        </w:rPr>
      </w:pPr>
      <w:r>
        <w:rPr>
          <w:rFonts w:ascii="Times New Roman" w:hAnsi="Times New Roman" w:eastAsia="宋体" w:cs="Times New Roman"/>
          <w:b w:val="0"/>
          <w:bCs w:val="0"/>
          <w:i w:val="0"/>
          <w:sz w:val="24"/>
        </w:rPr>
        <w:t>西安市长安区医院锅炉房（西安市长安区郭杜街道文苑中路120号）。</w:t>
      </w:r>
    </w:p>
    <w:p w14:paraId="507F921E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服务内容与人员要求</w:t>
      </w:r>
    </w:p>
    <w:p w14:paraId="6FC50205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人员外包：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乙方派驻司炉工、管理人员、水质化验员驻场值守，接受甲方监管，确保24小时至少两人同时值守。</w:t>
      </w:r>
    </w:p>
    <w:p w14:paraId="06A00248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资质要求：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操作人员必须持有有效期内特种设备作业人员证（锅炉司炉G1、锅炉水处理G3）。</w:t>
      </w:r>
    </w:p>
    <w:p w14:paraId="7B82701A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设备运维：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负责锅炉本体、燃烧系统、水处理系统、附属管道阀门、安全附件及锅炉房内其他设备的运维。</w:t>
      </w:r>
    </w:p>
    <w:p w14:paraId="4836FFEA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巡检维修：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日常巡检、设备调试、预防性维护、故障抢修、年度深度检修保养。</w:t>
      </w:r>
    </w:p>
    <w:p w14:paraId="0D995B4C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备品备件：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常用易损件储备、采购及库存管理。</w:t>
      </w:r>
    </w:p>
    <w:p w14:paraId="19F65F18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合规管理：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按时进行特种设备检验、安全附件校验、能效测试，配合甲方做好环保监测、数据统计填报。</w:t>
      </w:r>
    </w:p>
    <w:p w14:paraId="3394A5C3">
      <w:pPr>
        <w:pStyle w:val="9"/>
        <w:widowControl/>
        <w:numPr>
          <w:ilvl w:val="0"/>
          <w:numId w:val="5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记录与报告：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保存完整的运行日志、维保记录、能耗分析、安全台账等。</w:t>
      </w:r>
    </w:p>
    <w:p w14:paraId="725B7963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运维标准与故障响应</w:t>
      </w:r>
    </w:p>
    <w:p w14:paraId="3CBFDBE2">
      <w:pPr>
        <w:pStyle w:val="9"/>
        <w:widowControl/>
        <w:numPr>
          <w:ilvl w:val="0"/>
          <w:numId w:val="6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日常运行：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每小时记录压力、温度、水位、燃气流量；严格执行“五交清”交接班制度。</w:t>
      </w:r>
    </w:p>
    <w:p w14:paraId="05D5266C">
      <w:pPr>
        <w:pStyle w:val="9"/>
        <w:widowControl/>
        <w:numPr>
          <w:ilvl w:val="0"/>
          <w:numId w:val="6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维护保养：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按照采购需求中的“日常巡检+月度专项+季度保养+年度大修”四级维护模式及频次表执行（详见招标/采购文件技术部分）。</w:t>
      </w:r>
    </w:p>
    <w:p w14:paraId="0229D585">
      <w:pPr>
        <w:pStyle w:val="9"/>
        <w:widowControl/>
        <w:numPr>
          <w:ilvl w:val="0"/>
          <w:numId w:val="6"/>
        </w:numPr>
        <w:tabs>
          <w:tab w:val="left" w:pos="482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故障响应：</w:t>
      </w:r>
    </w:p>
    <w:p w14:paraId="292DC78C">
      <w:pPr>
        <w:pStyle w:val="9"/>
        <w:widowControl/>
        <w:numPr>
          <w:ilvl w:val="0"/>
          <w:numId w:val="6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一般故障：乙方须在30分钟内到场，2小时内修复。</w:t>
      </w:r>
    </w:p>
    <w:p w14:paraId="4D9A7B99">
      <w:pPr>
        <w:pStyle w:val="9"/>
        <w:widowControl/>
        <w:numPr>
          <w:ilvl w:val="0"/>
          <w:numId w:val="6"/>
        </w:numPr>
        <w:tabs>
          <w:tab w:val="left" w:pos="482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重大故障：乙方须在10分钟内启动应急预案，4小时内恢复运行。</w:t>
      </w:r>
    </w:p>
    <w:p w14:paraId="1A4C7DB3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费用承担范围</w:t>
      </w:r>
    </w:p>
    <w:p w14:paraId="49C62B44">
      <w:pPr>
        <w:pStyle w:val="9"/>
        <w:widowControl/>
        <w:numPr>
          <w:ilvl w:val="0"/>
          <w:numId w:val="7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运维期间，驻场人员工资及相关费用、耗材、仪器设备维修、设备年检保养等费用均由乙方承担。</w:t>
      </w:r>
    </w:p>
    <w:p w14:paraId="755CAD03">
      <w:pPr>
        <w:pStyle w:val="9"/>
        <w:widowControl/>
        <w:numPr>
          <w:ilvl w:val="0"/>
          <w:numId w:val="7"/>
        </w:numPr>
        <w:tabs>
          <w:tab w:val="left" w:pos="480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i w:val="0"/>
          <w:sz w:val="24"/>
        </w:rPr>
        <w:t>维修费用分担：</w:t>
      </w:r>
    </w:p>
    <w:p w14:paraId="7D863705">
      <w:pPr>
        <w:pStyle w:val="9"/>
        <w:widowControl/>
        <w:numPr>
          <w:ilvl w:val="0"/>
          <w:numId w:val="7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单项单价 </w:t>
      </w:r>
      <w:r>
        <w:rPr>
          <w:rFonts w:ascii="Times New Roman" w:hAnsi="Times New Roman" w:eastAsia="宋体" w:cs="Times New Roman"/>
          <w:b/>
          <w:i w:val="0"/>
          <w:sz w:val="24"/>
        </w:rPr>
        <w:t>1000元（含）以下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的维修项目，由乙方承担。</w:t>
      </w:r>
    </w:p>
    <w:p w14:paraId="00A722C0">
      <w:pPr>
        <w:pStyle w:val="9"/>
        <w:widowControl/>
        <w:numPr>
          <w:ilvl w:val="0"/>
          <w:numId w:val="7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单项单价 </w:t>
      </w:r>
      <w:r>
        <w:rPr>
          <w:rFonts w:ascii="Times New Roman" w:hAnsi="Times New Roman" w:eastAsia="宋体" w:cs="Times New Roman"/>
          <w:b/>
          <w:i w:val="0"/>
          <w:sz w:val="24"/>
        </w:rPr>
        <w:t>1000元以上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的维修项目，乙方需及时上报甲方管理部门，经甲方书面确认后，费用由甲方承担（乙方需提供询价依据）。</w:t>
      </w:r>
    </w:p>
    <w:p w14:paraId="4C2FBCE7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双方权利与义务</w:t>
      </w:r>
    </w:p>
    <w:p w14:paraId="7F796927">
      <w:pPr>
        <w:pStyle w:val="4"/>
        <w:keepNext/>
        <w:widowControl/>
        <w:numPr>
          <w:ilvl w:val="0"/>
          <w:numId w:val="8"/>
        </w:numPr>
        <w:tabs>
          <w:tab w:val="left" w:pos="782"/>
          <w:tab w:val="clear" w:pos="210"/>
        </w:tabs>
        <w:ind w:left="782" w:leftChars="0" w:hanging="300" w:firstLineChars="0"/>
        <w:rPr>
          <w:rFonts w:eastAsia="宋体"/>
          <w:b/>
          <w:bCs w:val="0"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bCs w:val="0"/>
          <w:sz w:val="24"/>
        </w:rPr>
        <w:t>甲方权利义务：</w:t>
      </w:r>
    </w:p>
    <w:p w14:paraId="2F3BEEC5">
      <w:pPr>
        <w:pStyle w:val="9"/>
        <w:widowControl/>
        <w:numPr>
          <w:ilvl w:val="0"/>
          <w:numId w:val="9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提供必要的场地、水电接口及原有技术资料。</w:t>
      </w:r>
    </w:p>
    <w:p w14:paraId="3CFE72F1">
      <w:pPr>
        <w:pStyle w:val="9"/>
        <w:widowControl/>
        <w:numPr>
          <w:ilvl w:val="0"/>
          <w:numId w:val="9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按时支付合同款项，有权对乙方工作进行监督检查和考核。</w:t>
      </w:r>
    </w:p>
    <w:p w14:paraId="4CB88893">
      <w:pPr>
        <w:pStyle w:val="9"/>
        <w:widowControl/>
        <w:numPr>
          <w:ilvl w:val="0"/>
          <w:numId w:val="9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遇国家政策调整或医院管理需要出台新运维要求时，以新要求为准（需书面通知乙方）。</w:t>
      </w:r>
    </w:p>
    <w:p w14:paraId="7AE87128">
      <w:pPr>
        <w:pStyle w:val="4"/>
        <w:keepNext/>
        <w:widowControl/>
        <w:numPr>
          <w:ilvl w:val="0"/>
          <w:numId w:val="8"/>
        </w:numPr>
        <w:tabs>
          <w:tab w:val="left" w:pos="782"/>
          <w:tab w:val="clear" w:pos="210"/>
        </w:tabs>
        <w:ind w:left="782" w:leftChars="0" w:hanging="300" w:firstLineChars="0"/>
        <w:rPr>
          <w:rFonts w:eastAsia="宋体"/>
          <w:b/>
          <w:bCs w:val="0"/>
          <w:sz w:val="24"/>
          <w:bdr w:val="none" w:sz="0" w:space="0"/>
        </w:rPr>
      </w:pPr>
      <w:r>
        <w:rPr>
          <w:rFonts w:ascii="Times New Roman" w:hAnsi="Times New Roman" w:eastAsia="宋体" w:cs="Times New Roman"/>
          <w:b/>
          <w:bCs w:val="0"/>
          <w:sz w:val="24"/>
        </w:rPr>
        <w:t>乙方权利义务：</w:t>
      </w:r>
    </w:p>
    <w:p w14:paraId="200D0B05">
      <w:pPr>
        <w:pStyle w:val="9"/>
        <w:widowControl/>
        <w:numPr>
          <w:ilvl w:val="0"/>
          <w:numId w:val="10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严格遵守国家特种设备安全法律法规及医院规章制度，确保安全运行。</w:t>
      </w:r>
    </w:p>
    <w:p w14:paraId="2B46EF35">
      <w:pPr>
        <w:pStyle w:val="9"/>
        <w:widowControl/>
        <w:numPr>
          <w:ilvl w:val="0"/>
          <w:numId w:val="10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负责站房人员的劳动关系、社保、安全责任及薪酬发放，人员发生工伤等纠纷与甲方无关。</w:t>
      </w:r>
    </w:p>
    <w:p w14:paraId="3CF238BE">
      <w:pPr>
        <w:pStyle w:val="9"/>
        <w:widowControl/>
        <w:numPr>
          <w:ilvl w:val="0"/>
          <w:numId w:val="10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未经甲方书面同意，不得以任何方式销毁、出售、抵押或转移甲方资产及相关文档。</w:t>
      </w:r>
    </w:p>
    <w:p w14:paraId="00ECC476">
      <w:pPr>
        <w:pStyle w:val="9"/>
        <w:widowControl/>
        <w:numPr>
          <w:ilvl w:val="0"/>
          <w:numId w:val="10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自行承担因操作不当或管理不善导致的安全事故责任及经济损失（不可抗力除外）。</w:t>
      </w:r>
    </w:p>
    <w:p w14:paraId="151AFA8F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违约责任</w:t>
      </w:r>
    </w:p>
    <w:p w14:paraId="633FF457">
      <w:pPr>
        <w:pStyle w:val="9"/>
        <w:widowControl/>
        <w:numPr>
          <w:ilvl w:val="0"/>
          <w:numId w:val="11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若乙方未达到第六条规定的故障响应时限，每延误一次视为一次服务质量违约，甲方有权扣除当季度服务费相应比例（具体在考核标准中执行）。</w:t>
      </w:r>
    </w:p>
    <w:p w14:paraId="3AB84D9E">
      <w:pPr>
        <w:pStyle w:val="9"/>
        <w:widowControl/>
        <w:numPr>
          <w:ilvl w:val="0"/>
          <w:numId w:val="11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若因乙方违规操作导致锅炉停运、爆炸或设备损坏，乙方须承担全部修复费用及甲方由此产生的损失。</w:t>
      </w:r>
    </w:p>
    <w:p w14:paraId="37F41785">
      <w:pPr>
        <w:pStyle w:val="9"/>
        <w:widowControl/>
        <w:numPr>
          <w:ilvl w:val="0"/>
          <w:numId w:val="11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本合同涉及的单方解除权，甲方行使时自书面通知送达乙方之日合同解除，乙方应在10日内完成交接并撤场，甲方按实际服务天数结算费用（扣除违约金后）。</w:t>
      </w:r>
    </w:p>
    <w:p w14:paraId="2CC9E863">
      <w:pPr>
        <w:pStyle w:val="3"/>
        <w:keepNext/>
        <w:widowControl/>
        <w:numPr>
          <w:ilvl w:val="0"/>
          <w:numId w:val="1"/>
        </w:numPr>
        <w:tabs>
          <w:tab w:val="left" w:pos="843"/>
          <w:tab w:val="clear" w:pos="210"/>
        </w:tabs>
        <w:ind w:left="845" w:leftChars="0" w:hanging="845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争议解决</w:t>
      </w:r>
    </w:p>
    <w:p w14:paraId="71AEFE7F">
      <w:pPr>
        <w:pStyle w:val="9"/>
        <w:widowControl/>
        <w:ind w:left="0" w:leftChars="0"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本合同履行过程中发生争议，双方应友好协商；协商不成的，向 </w:t>
      </w:r>
      <w:r>
        <w:rPr>
          <w:rFonts w:ascii="Times New Roman" w:hAnsi="Times New Roman" w:eastAsia="宋体" w:cs="Times New Roman"/>
          <w:b/>
          <w:i w:val="0"/>
          <w:sz w:val="24"/>
        </w:rPr>
        <w:t>西安市长安区人民法院</w:t>
      </w:r>
      <w:r>
        <w:rPr>
          <w:rFonts w:ascii="Times New Roman" w:hAnsi="Times New Roman" w:eastAsia="宋体" w:cs="Times New Roman"/>
          <w:b w:val="0"/>
          <w:i w:val="0"/>
          <w:sz w:val="24"/>
        </w:rPr>
        <w:t xml:space="preserve"> 提起诉讼。</w:t>
      </w:r>
    </w:p>
    <w:p w14:paraId="54080B55">
      <w:pPr>
        <w:pStyle w:val="3"/>
        <w:keepNext/>
        <w:widowControl/>
        <w:numPr>
          <w:ilvl w:val="0"/>
          <w:numId w:val="1"/>
        </w:numPr>
        <w:tabs>
          <w:tab w:val="left" w:pos="1084"/>
          <w:tab w:val="clear" w:pos="210"/>
        </w:tabs>
        <w:ind w:left="1083" w:leftChars="0" w:hanging="1083" w:firstLineChars="0"/>
        <w:rPr>
          <w:rFonts w:eastAsia="宋体"/>
          <w:b/>
          <w:bCs/>
          <w:sz w:val="24"/>
          <w:szCs w:val="30"/>
          <w:bdr w:val="none" w:sz="0" w:space="0"/>
        </w:rPr>
      </w:pPr>
      <w:r>
        <w:rPr>
          <w:rFonts w:ascii="宋体" w:hAnsi="宋体" w:eastAsia="宋体" w:cs="宋体"/>
          <w:b/>
          <w:bCs/>
          <w:sz w:val="24"/>
          <w:szCs w:val="30"/>
        </w:rPr>
        <w:t>其他</w:t>
      </w:r>
    </w:p>
    <w:p w14:paraId="73F9BB43">
      <w:pPr>
        <w:pStyle w:val="9"/>
        <w:widowControl/>
        <w:numPr>
          <w:ilvl w:val="0"/>
          <w:numId w:val="12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本合同未尽事宜，经双方协商签订补充协议，补充协议与本合同具有同等法律效力。</w:t>
      </w:r>
    </w:p>
    <w:p w14:paraId="25C4353D">
      <w:pPr>
        <w:pStyle w:val="9"/>
        <w:widowControl/>
        <w:numPr>
          <w:ilvl w:val="0"/>
          <w:numId w:val="12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附件《年度考核评价表》为本合同不可分割的一部分。</w:t>
      </w:r>
    </w:p>
    <w:p w14:paraId="40C37901">
      <w:pPr>
        <w:pStyle w:val="9"/>
        <w:widowControl/>
        <w:numPr>
          <w:ilvl w:val="0"/>
          <w:numId w:val="12"/>
        </w:numPr>
        <w:tabs>
          <w:tab w:val="left" w:pos="480"/>
          <w:tab w:val="clear" w:pos="210"/>
        </w:tabs>
        <w:ind w:left="0" w:leftChars="0" w:firstLine="480" w:firstLineChars="200"/>
        <w:rPr>
          <w:rFonts w:eastAsia="宋体"/>
          <w:b/>
          <w:sz w:val="24"/>
          <w:bdr w:val="none" w:sz="0" w:space="0"/>
        </w:rPr>
      </w:pPr>
      <w:r>
        <w:rPr>
          <w:rFonts w:ascii="Times New Roman" w:hAnsi="Times New Roman" w:eastAsia="宋体" w:cs="Times New Roman"/>
          <w:b w:val="0"/>
          <w:i w:val="0"/>
          <w:sz w:val="24"/>
        </w:rPr>
        <w:t>本合同一式肆份，甲方执贰份，乙方执贰份，自双方法定代表人或授权代表签字并加盖公章之日起生效。</w:t>
      </w:r>
    </w:p>
    <w:p w14:paraId="31E1C714">
      <w:pPr>
        <w:spacing w:before="120" w:after="120"/>
        <w:rPr>
          <w:rFonts w:ascii="Times New Roman" w:hAnsi="Times New Roman" w:eastAsia="宋体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eastAsia="宋体" w:cs="Times New Roman"/>
          <w:b/>
          <w:bCs/>
          <w:i w:val="0"/>
          <w:iCs w:val="0"/>
          <w:sz w:val="24"/>
        </w:rPr>
        <w:t>甲方（盖章）：</w:t>
      </w: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4"/>
        </w:rPr>
        <w:t xml:space="preserve"> 西安市长安区医院</w:t>
      </w:r>
    </w:p>
    <w:p w14:paraId="35B8D823">
      <w:pPr>
        <w:spacing w:before="120" w:after="120"/>
        <w:rPr>
          <w:rFonts w:ascii="Times New Roman" w:hAnsi="Times New Roman" w:eastAsia="宋体" w:cs="Times New Roman"/>
          <w:b/>
          <w:bCs/>
          <w:i w:val="0"/>
          <w:iCs w:val="0"/>
          <w:sz w:val="24"/>
        </w:rPr>
      </w:pPr>
      <w:r>
        <w:rPr>
          <w:rFonts w:ascii="Times New Roman" w:hAnsi="Times New Roman" w:eastAsia="宋体" w:cs="Times New Roman"/>
          <w:b/>
          <w:bCs/>
          <w:i w:val="0"/>
          <w:iCs w:val="0"/>
          <w:sz w:val="24"/>
        </w:rPr>
        <w:t>授权代表签字：</w:t>
      </w:r>
    </w:p>
    <w:p w14:paraId="4F9A3DA0">
      <w:pPr>
        <w:spacing w:before="120" w:after="1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bCs/>
          <w:i w:val="0"/>
          <w:iCs w:val="0"/>
          <w:sz w:val="24"/>
        </w:rPr>
        <w:t>日期：</w:t>
      </w: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4"/>
        </w:rPr>
        <w:t xml:space="preserve"> 年 月 日</w:t>
      </w:r>
    </w:p>
    <w:p w14:paraId="40B485D4">
      <w:pPr>
        <w:spacing w:before="120" w:after="120"/>
        <w:rPr>
          <w:rFonts w:ascii="Times New Roman" w:hAnsi="Times New Roman" w:eastAsia="宋体" w:cs="Times New Roman"/>
          <w:b/>
          <w:bCs/>
          <w:i w:val="0"/>
          <w:iCs w:val="0"/>
          <w:sz w:val="24"/>
        </w:rPr>
      </w:pPr>
    </w:p>
    <w:p w14:paraId="2B4AFF12">
      <w:pPr>
        <w:spacing w:before="120" w:after="120"/>
        <w:rPr>
          <w:rFonts w:ascii="Times New Roman" w:hAnsi="Times New Roman" w:eastAsia="宋体" w:cs="Times New Roman"/>
          <w:b/>
          <w:bCs/>
          <w:i w:val="0"/>
          <w:iCs w:val="0"/>
          <w:sz w:val="24"/>
        </w:rPr>
      </w:pPr>
      <w:r>
        <w:rPr>
          <w:rFonts w:ascii="Times New Roman" w:hAnsi="Times New Roman" w:eastAsia="宋体" w:cs="Times New Roman"/>
          <w:b/>
          <w:bCs/>
          <w:i w:val="0"/>
          <w:iCs w:val="0"/>
          <w:sz w:val="24"/>
        </w:rPr>
        <w:t>乙方（盖章）：</w:t>
      </w:r>
    </w:p>
    <w:p w14:paraId="52AF7BB2">
      <w:pPr>
        <w:spacing w:before="120" w:after="120"/>
        <w:rPr>
          <w:rFonts w:ascii="Times New Roman" w:hAnsi="Times New Roman" w:eastAsia="宋体" w:cs="Times New Roman"/>
          <w:b/>
          <w:bCs/>
          <w:i w:val="0"/>
          <w:iCs w:val="0"/>
          <w:sz w:val="24"/>
        </w:rPr>
      </w:pPr>
      <w:r>
        <w:rPr>
          <w:rFonts w:ascii="Times New Roman" w:hAnsi="Times New Roman" w:eastAsia="宋体" w:cs="Times New Roman"/>
          <w:b/>
          <w:bCs/>
          <w:i w:val="0"/>
          <w:iCs w:val="0"/>
          <w:sz w:val="24"/>
        </w:rPr>
        <w:t>授权代表签字：</w:t>
      </w:r>
    </w:p>
    <w:p w14:paraId="5D493A0E">
      <w:pPr>
        <w:spacing w:before="120" w:after="1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bCs/>
          <w:i w:val="0"/>
          <w:iCs w:val="0"/>
          <w:sz w:val="24"/>
        </w:rPr>
        <w:t>日期：</w:t>
      </w:r>
      <w:r>
        <w:rPr>
          <w:rFonts w:ascii="Times New Roman" w:hAnsi="Times New Roman" w:eastAsia="宋体" w:cs="Times New Roman"/>
          <w:b w:val="0"/>
          <w:bCs w:val="0"/>
          <w:i w:val="0"/>
          <w:iCs w:val="0"/>
          <w:sz w:val="24"/>
        </w:rPr>
        <w:t xml:space="preserve"> 年 月 日</w:t>
      </w:r>
    </w:p>
    <w:p w14:paraId="55E47A83">
      <w:pPr>
        <w:pStyle w:val="9"/>
        <w:widowControl/>
        <w:numPr>
          <w:ilvl w:val="0"/>
          <w:numId w:val="12"/>
        </w:numPr>
        <w:tabs>
          <w:tab w:val="left" w:pos="480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  <w:sectPr>
          <w:pgSz w:w="11906" w:h="16838"/>
          <w:pgMar w:top="1440" w:right="1440" w:bottom="1440" w:left="1440" w:header="708" w:footer="708" w:gutter="0"/>
          <w:cols w:space="720" w:num="1"/>
          <w:docGrid w:linePitch="360" w:charSpace="0"/>
        </w:sectPr>
      </w:pPr>
    </w:p>
    <w:tbl>
      <w:tblPr>
        <w:tblStyle w:val="12"/>
        <w:tblW w:w="9300" w:type="dxa"/>
        <w:tblInd w:w="-1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5"/>
        <w:gridCol w:w="6180"/>
        <w:gridCol w:w="945"/>
        <w:gridCol w:w="1020"/>
      </w:tblGrid>
      <w:tr w14:paraId="5E70CD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7" w:hRule="atLeast"/>
        </w:trPr>
        <w:tc>
          <w:tcPr>
            <w:tcW w:w="9300" w:type="dxa"/>
            <w:gridSpan w:val="4"/>
            <w:noWrap w:val="0"/>
            <w:vAlign w:val="center"/>
          </w:tcPr>
          <w:p w14:paraId="666192F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附件：</w:t>
            </w:r>
          </w:p>
          <w:p w14:paraId="3E44FA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西安市长安区医院</w:t>
            </w:r>
          </w:p>
          <w:p w14:paraId="1D7969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蒸汽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锅炉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运维服务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年度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考核评价表</w:t>
            </w:r>
          </w:p>
        </w:tc>
      </w:tr>
      <w:tr w14:paraId="2F2A85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9300" w:type="dxa"/>
            <w:gridSpan w:val="4"/>
            <w:tcBorders>
              <w:bottom w:val="single" w:color="000000" w:sz="4" w:space="0"/>
            </w:tcBorders>
            <w:noWrap w:val="0"/>
            <w:vAlign w:val="center"/>
          </w:tcPr>
          <w:p w14:paraId="5F5665F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D8FA9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DFB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61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391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考评内容</w:t>
            </w:r>
          </w:p>
        </w:tc>
        <w:tc>
          <w:tcPr>
            <w:tcW w:w="9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FD98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0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65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14:paraId="6EA19E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ABB9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工作态度</w:t>
            </w: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45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工作积极主动，按时保质完成工作，注意安全生产。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1CA9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2D3A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BA38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0B42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3D67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主动承担工作任务，遇到问题不互相扯皮，勇于承担责任并妥善处理。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122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11F17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21CF0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13C4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9C13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积极主动的完成班组长工作安排，并及时汇报工作进展 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965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2031E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0CC1E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1C0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工作质量</w:t>
            </w: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660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按照医院蒸汽用量的规律，确保锅炉的正常运行。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267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75AD0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0E205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B3E6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6219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严格执行维修保养制度，认真做好锅炉及附属设备的保养。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CE1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F19A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F415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413F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AD7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格执行锅炉操作规程和安全技术操作要求，防止安全事故发生。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7A7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D3119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0A1BF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11F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673B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严格执行设备间及操作间卫生清洁制度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71C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B472C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3CA8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8D9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工作纪律</w:t>
            </w: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F3ED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遵守锅炉班的各项管理规定和设备操作规程，自觉维护锅炉班生产工作秩序。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4EC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D5F12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95ED8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4F4C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3E88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遵守劳动纪律，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不迟到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早退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串岗、脱岗；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上班期间不饮酒抽烟，不干工作无关的事情。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C31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BB4B8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C583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FF67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42E4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节约水电及其他维修材料，杜绝浪费现象。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4A0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F857B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B6B68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D0C1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工作效率</w:t>
            </w: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D2C6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精力充沛，工作状态好，积极高效的完成原有或临时追加的维修保养工作任务。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2A3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B5A1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9C2DD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DACD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3A21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主动进行巡查，合理改善工作流程和提高工作效率。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3C8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2C677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9C591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B6E7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9317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工作过程中积极主动并及时汇报，无需经常督促。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8B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C0C2C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BFB83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396B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03B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有计划开展维修保养工作，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充分提升锅炉性能。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F7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4150D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EAEC9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4E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节能降耗</w:t>
            </w: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71F2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熟练掌握锅炉及附属设备的性能和状态。 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CED7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479F0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54C69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EBF3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685F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做好锅炉日常维护，杜绝“跑、冒、滴、漏”的现象，做到文明生产。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FD2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91321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DE4C9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B7B3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416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正确操作锅炉，做好燃料节约，水电节约。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7A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155A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1223E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AD7D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2CE5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根据气温变化及医院用汽规律灵活掌握锅炉运行时间、适时调整锅炉运行负荷。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E43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A60A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C774C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153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维修保养</w:t>
            </w: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F1E2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按维修保养计划，完成保养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内容并登记造册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D39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08D21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F37E8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9" w:hRule="atLeast"/>
        </w:trPr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F00F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3009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每天定时检查锅炉及附属设备，发现问题及时处理，重大问题立即上报，并采取应急措施。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0A56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F77DB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7A7A8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03D6B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</w:tc>
      </w:tr>
    </w:tbl>
    <w:p w14:paraId="7A29819A">
      <w:pPr>
        <w:pStyle w:val="9"/>
        <w:widowControl/>
        <w:numPr>
          <w:ilvl w:val="0"/>
          <w:numId w:val="12"/>
        </w:numPr>
        <w:tabs>
          <w:tab w:val="left" w:pos="480"/>
          <w:tab w:val="clear" w:pos="210"/>
        </w:tabs>
        <w:ind w:left="0" w:leftChars="0" w:firstLine="482" w:firstLineChars="200"/>
        <w:rPr>
          <w:rFonts w:eastAsia="宋体"/>
          <w:b/>
          <w:sz w:val="24"/>
          <w:bdr w:val="none" w:sz="0" w:space="0"/>
        </w:rPr>
      </w:pP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C8B18"/>
    <w:multiLevelType w:val="singleLevel"/>
    <w:tmpl w:val="843C8B18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1">
    <w:nsid w:val="A3E2FED3"/>
    <w:multiLevelType w:val="singleLevel"/>
    <w:tmpl w:val="A3E2FED3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2">
    <w:nsid w:val="AC280023"/>
    <w:multiLevelType w:val="singleLevel"/>
    <w:tmpl w:val="AC280023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3">
    <w:nsid w:val="ADCBF523"/>
    <w:multiLevelType w:val="singleLevel"/>
    <w:tmpl w:val="ADCBF523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4">
    <w:nsid w:val="BABF5C71"/>
    <w:multiLevelType w:val="singleLevel"/>
    <w:tmpl w:val="BABF5C71"/>
    <w:lvl w:ilvl="0" w:tentative="0">
      <w:start w:val="1"/>
      <w:numFmt w:val="decimal"/>
      <w:lvlText w:val="%1.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5">
    <w:nsid w:val="D4C38300"/>
    <w:multiLevelType w:val="singleLevel"/>
    <w:tmpl w:val="D4C38300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6">
    <w:nsid w:val="DAF8FECB"/>
    <w:multiLevelType w:val="singleLevel"/>
    <w:tmpl w:val="DAF8FECB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7">
    <w:nsid w:val="EC7B779A"/>
    <w:multiLevelType w:val="singleLevel"/>
    <w:tmpl w:val="EC7B779A"/>
    <w:lvl w:ilvl="0" w:tentative="0">
      <w:start w:val="1"/>
      <w:numFmt w:val="chineseCounting"/>
      <w:lvlText w:val="第%1条"/>
      <w:lvlJc w:val="left"/>
      <w:pPr>
        <w:tabs>
          <w:tab w:val="left" w:pos="210"/>
        </w:tabs>
        <w:ind w:left="0" w:firstLine="0"/>
      </w:pPr>
      <w:rPr>
        <w:rFonts w:hint="eastAsia"/>
      </w:rPr>
    </w:lvl>
  </w:abstractNum>
  <w:abstractNum w:abstractNumId="8">
    <w:nsid w:val="EC8FAFAD"/>
    <w:multiLevelType w:val="singleLevel"/>
    <w:tmpl w:val="EC8FAFAD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9">
    <w:nsid w:val="225B36B0"/>
    <w:multiLevelType w:val="singleLevel"/>
    <w:tmpl w:val="225B36B0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10">
    <w:nsid w:val="343CA011"/>
    <w:multiLevelType w:val="singleLevel"/>
    <w:tmpl w:val="343CA011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abstractNum w:abstractNumId="11">
    <w:nsid w:val="797FC762"/>
    <w:multiLevelType w:val="singleLevel"/>
    <w:tmpl w:val="797FC762"/>
    <w:lvl w:ilvl="0" w:tentative="0">
      <w:start w:val="1"/>
      <w:numFmt w:val="decimal"/>
      <w:lvlText w:val=""/>
      <w:lvlJc w:val="left"/>
      <w:pPr>
        <w:tabs>
          <w:tab w:val="left" w:pos="210"/>
        </w:tabs>
        <w:ind w:left="0" w:firstLine="482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367751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Arial" w:hAnsi="Arial" w:eastAsia="Arial" w:cs="Arial"/>
      <w:sz w:val="24"/>
      <w:szCs w:val="24"/>
    </w:rPr>
  </w:style>
  <w:style w:type="paragraph" w:styleId="3">
    <w:name w:val="heading 1"/>
    <w:next w:val="1"/>
    <w:qFormat/>
    <w:uiPriority w:val="0"/>
    <w:pPr>
      <w:keepNext w:val="0"/>
      <w:keepLines w:val="0"/>
      <w:widowControl w:val="0"/>
      <w:spacing w:before="240" w:beforeLines="0" w:after="120" w:afterLines="0" w:line="360" w:lineRule="auto"/>
      <w:ind w:firstLine="0" w:firstLineChars="0"/>
      <w:jc w:val="both"/>
      <w:outlineLvl w:val="0"/>
    </w:pPr>
    <w:rPr>
      <w:rFonts w:ascii="宋体" w:hAnsi="宋体" w:eastAsia="宋体" w:cs="宋体"/>
      <w:b/>
      <w:bCs/>
      <w:kern w:val="44"/>
      <w:sz w:val="24"/>
      <w:szCs w:val="30"/>
    </w:rPr>
  </w:style>
  <w:style w:type="paragraph" w:styleId="4">
    <w:name w:val="heading 2"/>
    <w:next w:val="1"/>
    <w:qFormat/>
    <w:uiPriority w:val="0"/>
    <w:pPr>
      <w:keepNext w:val="0"/>
      <w:keepLines w:val="0"/>
      <w:widowControl w:val="0"/>
      <w:spacing w:before="120" w:beforeAutospacing="0" w:after="120" w:afterAutospacing="0" w:line="360" w:lineRule="auto"/>
      <w:ind w:firstLine="420" w:firstLineChars="200"/>
      <w:jc w:val="both"/>
      <w:outlineLvl w:val="1"/>
    </w:pPr>
    <w:rPr>
      <w:rFonts w:ascii="Times New Roman" w:hAnsi="Times New Roman" w:eastAsia="宋体" w:cs="Times New Roman"/>
      <w:b/>
      <w:sz w:val="24"/>
    </w:rPr>
  </w:style>
  <w:style w:type="paragraph" w:styleId="5">
    <w:name w:val="heading 3"/>
    <w:basedOn w:val="1"/>
    <w:next w:val="1"/>
    <w:qFormat/>
    <w:uiPriority w:val="0"/>
    <w:rPr>
      <w:color w:val="1F4D78"/>
      <w:sz w:val="24"/>
      <w:szCs w:val="24"/>
    </w:rPr>
  </w:style>
  <w:style w:type="paragraph" w:styleId="6">
    <w:name w:val="heading 4"/>
    <w:basedOn w:val="1"/>
    <w:next w:val="1"/>
    <w:qFormat/>
    <w:uiPriority w:val="0"/>
    <w:rPr>
      <w:i/>
      <w:iCs/>
      <w:color w:val="2E74B5"/>
    </w:rPr>
  </w:style>
  <w:style w:type="paragraph" w:styleId="7">
    <w:name w:val="heading 5"/>
    <w:basedOn w:val="1"/>
    <w:next w:val="1"/>
    <w:qFormat/>
    <w:uiPriority w:val="0"/>
    <w:rPr>
      <w:color w:val="2E74B5"/>
    </w:rPr>
  </w:style>
  <w:style w:type="paragraph" w:styleId="8">
    <w:name w:val="heading 6"/>
    <w:basedOn w:val="1"/>
    <w:next w:val="1"/>
    <w:qFormat/>
    <w:uiPriority w:val="0"/>
    <w:rPr>
      <w:color w:val="1F4D78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9">
    <w:name w:val="Body Text"/>
    <w:uiPriority w:val="0"/>
    <w:pPr>
      <w:spacing w:after="120" w:afterAutospacing="0" w:line="300" w:lineRule="auto"/>
      <w:ind w:firstLine="420" w:firstLineChars="200"/>
      <w:jc w:val="both"/>
    </w:pPr>
    <w:rPr>
      <w:rFonts w:ascii="Times New Roman" w:hAnsi="Times New Roman" w:eastAsia="宋体" w:cs="Times New Roman"/>
      <w:sz w:val="24"/>
    </w:rPr>
  </w:style>
  <w:style w:type="paragraph" w:styleId="10">
    <w:name w:val="footnote text"/>
    <w:basedOn w:val="1"/>
    <w:link w:val="17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1">
    <w:name w:val="Title"/>
    <w:next w:val="1"/>
    <w:qFormat/>
    <w:uiPriority w:val="0"/>
    <w:pPr>
      <w:widowControl w:val="0"/>
      <w:spacing w:before="120" w:beforeAutospacing="0" w:after="240" w:afterAutospacing="0" w:line="360" w:lineRule="auto"/>
      <w:jc w:val="center"/>
      <w:outlineLvl w:val="9"/>
    </w:pPr>
    <w:rPr>
      <w:rFonts w:ascii="Times New Roman" w:hAnsi="Times New Roman" w:eastAsia="黑体" w:cs="Times New Roman"/>
      <w:sz w:val="44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basedOn w:val="1"/>
    <w:qFormat/>
    <w:uiPriority w:val="0"/>
  </w:style>
  <w:style w:type="character" w:customStyle="1" w:styleId="17">
    <w:name w:val="Footnote Text Char"/>
    <w:link w:val="10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1492</Words>
  <Characters>1773</Characters>
  <TotalTime>0</TotalTime>
  <ScaleCrop>false</ScaleCrop>
  <LinksUpToDate>false</LinksUpToDate>
  <CharactersWithSpaces>1852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2026-08-20T09:51:00Z</dcterms:created>
  <dc:creator>Un-named</dc:creator>
  <cp:lastModifiedBy>°Alone”</cp:lastModifiedBy>
  <dcterms:modified xsi:type="dcterms:W3CDTF">2026-08-21T01:51:31Z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eyJoZGlkIjoiZDdmNjcwNzA5OWJiYmU4ZTNmYThlNDcyMWE5ODc4MGIiLCJ1c2VySWQiOiIzMTcwNzk3NjUifQ==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43DF5B52B2CF44BF89D377C20FC69F9F_12</vt:lpwstr>
  </property>
</Properties>
</file>