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版本号：SNJZ-2026-125.1B220260805001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图书馆文献资源建设中文纸质图书及报刊采购项目(三次)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SNJZ-2026-125.1B2</w:t>
      </w:r>
      <w:r>
        <w:br/>
      </w:r>
      <w:r>
        <w:br/>
      </w:r>
      <w:r>
        <w:br/>
      </w:r>
    </w:p>
    <w:p>
      <w:pPr>
        <w:pStyle w:val="null3"/>
        <w:jc w:val="center"/>
        <w:outlineLvl w:val="2"/>
      </w:pPr>
      <w:r>
        <w:rPr>
          <w:rFonts w:ascii="仿宋_GB2312" w:hAnsi="仿宋_GB2312" w:cs="仿宋_GB2312" w:eastAsia="仿宋_GB2312"/>
          <w:sz w:val="28"/>
          <w:b/>
        </w:rPr>
        <w:t>陕西理工大学</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图书馆文献资源建设中文纸质图书及报刊采购项目(三次)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SNJZ-2026-125.1B2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图书馆文献资源建设中文纸质图书及报刊采购项目(三次)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文史等专题中文纸质图书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8、《出版物经营许可证》：提供有效的《出版物经营许可证》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0916-2641657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鲁方方 马子啸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下浮30%收取，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供应商应保证所提供的货物来源渠道合法合规，无知识产权纠纷</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联系人：鲁方方</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采购包1：文史等专题中文纸质图书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文史等专题中文纸质图书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标的名称：文史等专题中文纸质图书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一、项目内容</w:t>
            </w:r>
          </w:p>
          <w:p>
            <w:pPr>
              <w:pStyle w:val="null3"/>
              <w:jc w:val="both"/>
            </w:pPr>
            <w:r>
              <w:rPr>
                <w:rFonts w:ascii="仿宋_GB2312" w:hAnsi="仿宋_GB2312" w:cs="仿宋_GB2312" w:eastAsia="仿宋_GB2312"/>
              </w:rPr>
              <w:t>中文纸质图书不低于</w:t>
            </w:r>
            <w:r>
              <w:rPr>
                <w:rFonts w:ascii="仿宋_GB2312" w:hAnsi="仿宋_GB2312" w:cs="仿宋_GB2312" w:eastAsia="仿宋_GB2312"/>
              </w:rPr>
              <w:t>5</w:t>
            </w:r>
            <w:r>
              <w:rPr>
                <w:rFonts w:ascii="仿宋_GB2312" w:hAnsi="仿宋_GB2312" w:cs="仿宋_GB2312" w:eastAsia="仿宋_GB2312"/>
              </w:rPr>
              <w:t>000册</w:t>
            </w:r>
          </w:p>
          <w:p>
            <w:pPr>
              <w:pStyle w:val="null3"/>
              <w:jc w:val="both"/>
            </w:pPr>
            <w:r>
              <w:rPr>
                <w:rFonts w:ascii="仿宋_GB2312" w:hAnsi="仿宋_GB2312" w:cs="仿宋_GB2312" w:eastAsia="仿宋_GB2312"/>
              </w:rPr>
              <w:t>1.文史等</w:t>
            </w:r>
            <w:r>
              <w:rPr>
                <w:rFonts w:ascii="仿宋_GB2312" w:hAnsi="仿宋_GB2312" w:cs="仿宋_GB2312" w:eastAsia="仿宋_GB2312"/>
              </w:rPr>
              <w:t>专题</w:t>
            </w:r>
            <w:r>
              <w:rPr>
                <w:rFonts w:ascii="仿宋_GB2312" w:hAnsi="仿宋_GB2312" w:cs="仿宋_GB2312" w:eastAsia="仿宋_GB2312"/>
              </w:rPr>
              <w:t>中文纸质图书；</w:t>
            </w:r>
          </w:p>
          <w:p>
            <w:pPr>
              <w:pStyle w:val="null3"/>
              <w:jc w:val="both"/>
            </w:pPr>
            <w:r>
              <w:rPr>
                <w:rFonts w:ascii="仿宋_GB2312" w:hAnsi="仿宋_GB2312" w:cs="仿宋_GB2312" w:eastAsia="仿宋_GB2312"/>
              </w:rPr>
              <w:t>2.国内公开出版发行；</w:t>
            </w:r>
          </w:p>
          <w:p>
            <w:pPr>
              <w:pStyle w:val="null3"/>
              <w:jc w:val="both"/>
            </w:pPr>
            <w:r>
              <w:rPr>
                <w:rFonts w:ascii="仿宋_GB2312" w:hAnsi="仿宋_GB2312" w:cs="仿宋_GB2312" w:eastAsia="仿宋_GB2312"/>
              </w:rPr>
              <w:t>3.以当年或上一年新书为主；</w:t>
            </w:r>
          </w:p>
          <w:p>
            <w:pPr>
              <w:pStyle w:val="null3"/>
              <w:jc w:val="both"/>
            </w:pPr>
            <w:r>
              <w:rPr>
                <w:rFonts w:ascii="仿宋_GB2312" w:hAnsi="仿宋_GB2312" w:cs="仿宋_GB2312" w:eastAsia="仿宋_GB2312"/>
              </w:rPr>
              <w:t>4.同类图书优选</w:t>
            </w:r>
            <w:r>
              <w:rPr>
                <w:rFonts w:ascii="仿宋_GB2312" w:hAnsi="仿宋_GB2312" w:cs="仿宋_GB2312" w:eastAsia="仿宋_GB2312"/>
              </w:rPr>
              <w:t>重点</w:t>
            </w:r>
            <w:r>
              <w:rPr>
                <w:rFonts w:ascii="仿宋_GB2312" w:hAnsi="仿宋_GB2312" w:cs="仿宋_GB2312" w:eastAsia="仿宋_GB2312"/>
              </w:rPr>
              <w:t>出版社。</w:t>
            </w:r>
          </w:p>
          <w:p>
            <w:pPr>
              <w:pStyle w:val="null3"/>
              <w:jc w:val="both"/>
            </w:pPr>
            <w:r>
              <w:rPr>
                <w:rFonts w:ascii="仿宋_GB2312" w:hAnsi="仿宋_GB2312" w:cs="仿宋_GB2312" w:eastAsia="仿宋_GB2312"/>
              </w:rPr>
              <w:t>二、服务要求</w:t>
            </w:r>
          </w:p>
          <w:p>
            <w:pPr>
              <w:pStyle w:val="null3"/>
              <w:jc w:val="both"/>
            </w:pPr>
            <w:r>
              <w:rPr>
                <w:rFonts w:ascii="仿宋_GB2312" w:hAnsi="仿宋_GB2312" w:cs="仿宋_GB2312" w:eastAsia="仿宋_GB2312"/>
              </w:rPr>
              <w:t>1.质量要求</w:t>
            </w:r>
          </w:p>
          <w:p>
            <w:pPr>
              <w:pStyle w:val="null3"/>
              <w:jc w:val="both"/>
            </w:pPr>
            <w:r>
              <w:rPr>
                <w:rFonts w:ascii="仿宋_GB2312" w:hAnsi="仿宋_GB2312" w:cs="仿宋_GB2312" w:eastAsia="仿宋_GB2312"/>
              </w:rPr>
              <w:t>供应商必须保证提供的图书系通过国家正规出版社出版，公开发行，全新未使用过。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到书率要求</w:t>
            </w:r>
          </w:p>
          <w:p>
            <w:pPr>
              <w:pStyle w:val="null3"/>
              <w:jc w:val="both"/>
            </w:pPr>
            <w:r>
              <w:rPr>
                <w:rFonts w:ascii="仿宋_GB2312" w:hAnsi="仿宋_GB2312" w:cs="仿宋_GB2312" w:eastAsia="仿宋_GB2312"/>
                <w:sz w:val="20"/>
              </w:rPr>
              <w:t>预订图书订单发出后，</w:t>
            </w:r>
            <w:r>
              <w:rPr>
                <w:rFonts w:ascii="仿宋_GB2312" w:hAnsi="仿宋_GB2312" w:cs="仿宋_GB2312" w:eastAsia="仿宋_GB2312"/>
                <w:sz w:val="20"/>
              </w:rPr>
              <w:t>2</w:t>
            </w:r>
            <w:r>
              <w:rPr>
                <w:rFonts w:ascii="仿宋_GB2312" w:hAnsi="仿宋_GB2312" w:cs="仿宋_GB2312" w:eastAsia="仿宋_GB2312"/>
                <w:sz w:val="20"/>
              </w:rPr>
              <w:t>个月到书率不得低于</w:t>
            </w:r>
            <w:r>
              <w:rPr>
                <w:rFonts w:ascii="仿宋_GB2312" w:hAnsi="仿宋_GB2312" w:cs="仿宋_GB2312" w:eastAsia="仿宋_GB2312"/>
                <w:sz w:val="20"/>
              </w:rPr>
              <w:t>95%</w:t>
            </w:r>
            <w:r>
              <w:rPr>
                <w:rFonts w:ascii="仿宋_GB2312" w:hAnsi="仿宋_GB2312" w:cs="仿宋_GB2312" w:eastAsia="仿宋_GB2312"/>
                <w:sz w:val="20"/>
              </w:rPr>
              <w:t>；如品种或数量上不能达到我馆的要求，则应在收到预订订单</w:t>
            </w:r>
            <w:r>
              <w:rPr>
                <w:rFonts w:ascii="仿宋_GB2312" w:hAnsi="仿宋_GB2312" w:cs="仿宋_GB2312" w:eastAsia="仿宋_GB2312"/>
                <w:sz w:val="20"/>
              </w:rPr>
              <w:t>30</w:t>
            </w:r>
            <w:r>
              <w:rPr>
                <w:rFonts w:ascii="仿宋_GB2312" w:hAnsi="仿宋_GB2312" w:cs="仿宋_GB2312" w:eastAsia="仿宋_GB2312"/>
                <w:sz w:val="20"/>
              </w:rPr>
              <w:t>天之内向我馆反馈未订到信息。</w:t>
            </w:r>
          </w:p>
          <w:p>
            <w:pPr>
              <w:pStyle w:val="null3"/>
              <w:jc w:val="both"/>
            </w:pPr>
            <w:r>
              <w:rPr>
                <w:rFonts w:ascii="仿宋_GB2312" w:hAnsi="仿宋_GB2312" w:cs="仿宋_GB2312" w:eastAsia="仿宋_GB2312"/>
                <w:sz w:val="20"/>
              </w:rPr>
              <w:t>3.退书要求</w:t>
            </w:r>
          </w:p>
          <w:p>
            <w:pPr>
              <w:pStyle w:val="null3"/>
              <w:jc w:val="both"/>
            </w:pPr>
            <w:r>
              <w:rPr>
                <w:rFonts w:ascii="仿宋_GB2312" w:hAnsi="仿宋_GB2312" w:cs="仿宋_GB2312" w:eastAsia="仿宋_GB2312"/>
                <w:sz w:val="20"/>
              </w:rPr>
              <w:t>到书如与订单不符、附件不全、采访数据不详或缺页、污损、装帧等质量问题，供货方应无条件进行退换。</w:t>
            </w:r>
          </w:p>
          <w:p>
            <w:pPr>
              <w:pStyle w:val="null3"/>
              <w:jc w:val="both"/>
            </w:pPr>
            <w:r>
              <w:rPr>
                <w:rFonts w:ascii="仿宋_GB2312" w:hAnsi="仿宋_GB2312" w:cs="仿宋_GB2312" w:eastAsia="仿宋_GB2312"/>
                <w:sz w:val="20"/>
              </w:rPr>
              <w:t>4.送书要求</w:t>
            </w:r>
          </w:p>
          <w:p>
            <w:pPr>
              <w:pStyle w:val="null3"/>
              <w:jc w:val="both"/>
            </w:pPr>
            <w:r>
              <w:rPr>
                <w:rFonts w:ascii="仿宋_GB2312" w:hAnsi="仿宋_GB2312" w:cs="仿宋_GB2312" w:eastAsia="仿宋_GB2312"/>
                <w:sz w:val="20"/>
              </w:rPr>
              <w:t>供货商负责把图书送到指定地点。</w:t>
            </w:r>
          </w:p>
          <w:p>
            <w:pPr>
              <w:pStyle w:val="null3"/>
              <w:jc w:val="both"/>
            </w:pPr>
            <w:r>
              <w:rPr>
                <w:rFonts w:ascii="仿宋_GB2312" w:hAnsi="仿宋_GB2312" w:cs="仿宋_GB2312" w:eastAsia="仿宋_GB2312"/>
                <w:sz w:val="20"/>
              </w:rPr>
              <w:t>5.数据要求</w:t>
            </w:r>
          </w:p>
          <w:p>
            <w:pPr>
              <w:pStyle w:val="null3"/>
              <w:jc w:val="both"/>
            </w:pPr>
            <w:r>
              <w:rPr>
                <w:rFonts w:ascii="仿宋_GB2312" w:hAnsi="仿宋_GB2312" w:cs="仿宋_GB2312" w:eastAsia="仿宋_GB2312"/>
                <w:sz w:val="20"/>
              </w:rPr>
              <w:t>提供符合</w:t>
            </w:r>
            <w:r>
              <w:rPr>
                <w:rFonts w:ascii="仿宋_GB2312" w:hAnsi="仿宋_GB2312" w:cs="仿宋_GB2312" w:eastAsia="仿宋_GB2312"/>
                <w:sz w:val="20"/>
              </w:rPr>
              <w:t>CALIS编目要求的标准数据。其中690字段，即中图分类号字段，参照本馆《分类细则》。</w:t>
            </w:r>
          </w:p>
          <w:p>
            <w:pPr>
              <w:pStyle w:val="null3"/>
              <w:jc w:val="both"/>
            </w:pPr>
            <w:r>
              <w:rPr>
                <w:rFonts w:ascii="仿宋_GB2312" w:hAnsi="仿宋_GB2312" w:cs="仿宋_GB2312" w:eastAsia="仿宋_GB2312"/>
                <w:sz w:val="20"/>
              </w:rPr>
              <w:t>6.条码要求</w:t>
            </w:r>
          </w:p>
          <w:p>
            <w:pPr>
              <w:pStyle w:val="null3"/>
              <w:jc w:val="both"/>
            </w:pPr>
            <w:r>
              <w:rPr>
                <w:rFonts w:ascii="仿宋_GB2312" w:hAnsi="仿宋_GB2312" w:cs="仿宋_GB2312" w:eastAsia="仿宋_GB2312"/>
                <w:sz w:val="20"/>
              </w:rPr>
              <w:t>1）条码号按南北校区分别提供的号段连续使用。</w:t>
            </w:r>
          </w:p>
          <w:p>
            <w:pPr>
              <w:pStyle w:val="null3"/>
              <w:jc w:val="both"/>
            </w:pPr>
            <w:r>
              <w:rPr>
                <w:rFonts w:ascii="仿宋_GB2312" w:hAnsi="仿宋_GB2312" w:cs="仿宋_GB2312" w:eastAsia="仿宋_GB2312"/>
                <w:sz w:val="20"/>
              </w:rPr>
              <w:t>2）每册书贴两枚条码，分别在书名页右上方和第51页空白处。</w:t>
            </w:r>
          </w:p>
          <w:p>
            <w:pPr>
              <w:pStyle w:val="null3"/>
              <w:jc w:val="both"/>
            </w:pPr>
            <w:r>
              <w:rPr>
                <w:rFonts w:ascii="仿宋_GB2312" w:hAnsi="仿宋_GB2312" w:cs="仿宋_GB2312" w:eastAsia="仿宋_GB2312"/>
                <w:sz w:val="20"/>
              </w:rPr>
              <w:t>3) 条码表面要覆盖透明胶带纸且四边覆膜宽度超出条码≥0.5cm。</w:t>
            </w:r>
          </w:p>
          <w:p>
            <w:pPr>
              <w:pStyle w:val="null3"/>
              <w:jc w:val="both"/>
            </w:pPr>
            <w:r>
              <w:rPr>
                <w:rFonts w:ascii="仿宋_GB2312" w:hAnsi="仿宋_GB2312" w:cs="仿宋_GB2312" w:eastAsia="仿宋_GB2312"/>
                <w:sz w:val="20"/>
              </w:rPr>
              <w:t>4）条码尺寸：4.7cm*1.9cm。</w:t>
            </w:r>
          </w:p>
          <w:p>
            <w:pPr>
              <w:pStyle w:val="null3"/>
              <w:jc w:val="both"/>
            </w:pPr>
            <w:r>
              <w:rPr>
                <w:rFonts w:ascii="仿宋_GB2312" w:hAnsi="仿宋_GB2312" w:cs="仿宋_GB2312" w:eastAsia="仿宋_GB2312"/>
                <w:sz w:val="20"/>
              </w:rPr>
              <w:t>7.磁条要求</w:t>
            </w:r>
          </w:p>
          <w:p>
            <w:pPr>
              <w:pStyle w:val="null3"/>
              <w:jc w:val="both"/>
            </w:pPr>
            <w:r>
              <w:rPr>
                <w:rFonts w:ascii="仿宋_GB2312" w:hAnsi="仿宋_GB2312" w:cs="仿宋_GB2312" w:eastAsia="仿宋_GB2312"/>
                <w:sz w:val="20"/>
              </w:rPr>
              <w:t>磁条使用钴基</w:t>
            </w:r>
            <w:r>
              <w:rPr>
                <w:rFonts w:ascii="仿宋_GB2312" w:hAnsi="仿宋_GB2312" w:cs="仿宋_GB2312" w:eastAsia="仿宋_GB2312"/>
                <w:sz w:val="20"/>
              </w:rPr>
              <w:t>16cm复合磁条，300页以下每册一条，300页以上每册两条，夹在靠近书脊的中部。</w:t>
            </w:r>
          </w:p>
          <w:p>
            <w:pPr>
              <w:pStyle w:val="null3"/>
              <w:jc w:val="both"/>
            </w:pPr>
            <w:r>
              <w:rPr>
                <w:rFonts w:ascii="仿宋_GB2312" w:hAnsi="仿宋_GB2312" w:cs="仿宋_GB2312" w:eastAsia="仿宋_GB2312"/>
                <w:sz w:val="20"/>
              </w:rPr>
              <w:t>8.印章要求</w:t>
            </w:r>
          </w:p>
          <w:p>
            <w:pPr>
              <w:pStyle w:val="null3"/>
              <w:jc w:val="both"/>
            </w:pPr>
            <w:r>
              <w:rPr>
                <w:rFonts w:ascii="仿宋_GB2312" w:hAnsi="仿宋_GB2312" w:cs="仿宋_GB2312" w:eastAsia="仿宋_GB2312"/>
                <w:sz w:val="20"/>
              </w:rPr>
              <w:t>印章尺寸为</w:t>
            </w:r>
            <w:r>
              <w:rPr>
                <w:rFonts w:ascii="仿宋_GB2312" w:hAnsi="仿宋_GB2312" w:cs="仿宋_GB2312" w:eastAsia="仿宋_GB2312"/>
                <w:sz w:val="20"/>
              </w:rPr>
              <w:t>25mm*25mm,字体为隶书，印章分别加盖在书名页和书口。</w:t>
            </w:r>
          </w:p>
          <w:p>
            <w:pPr>
              <w:pStyle w:val="null3"/>
              <w:jc w:val="both"/>
            </w:pPr>
            <w:r>
              <w:rPr>
                <w:rFonts w:ascii="仿宋_GB2312" w:hAnsi="仿宋_GB2312" w:cs="仿宋_GB2312" w:eastAsia="仿宋_GB2312"/>
                <w:sz w:val="20"/>
              </w:rPr>
              <w:t>9.书包要求</w:t>
            </w:r>
          </w:p>
          <w:p>
            <w:pPr>
              <w:pStyle w:val="null3"/>
              <w:jc w:val="both"/>
            </w:pPr>
            <w:r>
              <w:rPr>
                <w:rFonts w:ascii="仿宋_GB2312" w:hAnsi="仿宋_GB2312" w:cs="仿宋_GB2312" w:eastAsia="仿宋_GB2312"/>
                <w:sz w:val="20"/>
              </w:rPr>
              <w:t>1)南北校区批次分别编号。</w:t>
            </w:r>
          </w:p>
          <w:p>
            <w:pPr>
              <w:pStyle w:val="null3"/>
              <w:jc w:val="both"/>
            </w:pPr>
            <w:r>
              <w:rPr>
                <w:rFonts w:ascii="仿宋_GB2312" w:hAnsi="仿宋_GB2312" w:cs="仿宋_GB2312" w:eastAsia="仿宋_GB2312"/>
                <w:sz w:val="20"/>
              </w:rPr>
              <w:t>2) 每批图书，相邻包之间的条码号必须连续；每包书中条码必须连续；同种书必须在同一包内且条码必须连续；多卷书、整套书条码必须连续，且在同一包内（若多卷书数量过多，则续在紧挨的包内）。</w:t>
            </w:r>
          </w:p>
          <w:p>
            <w:pPr>
              <w:pStyle w:val="null3"/>
              <w:jc w:val="both"/>
            </w:pPr>
            <w:r>
              <w:rPr>
                <w:rFonts w:ascii="仿宋_GB2312" w:hAnsi="仿宋_GB2312" w:cs="仿宋_GB2312" w:eastAsia="仿宋_GB2312"/>
                <w:sz w:val="20"/>
              </w:rPr>
              <w:t>3) 每包书的清单，以1．2．3…为序号表示本包书的种数，按条码号由小到大依次排列。</w:t>
            </w:r>
          </w:p>
          <w:p>
            <w:pPr>
              <w:pStyle w:val="null3"/>
              <w:jc w:val="both"/>
            </w:pPr>
            <w:r>
              <w:rPr>
                <w:rFonts w:ascii="仿宋_GB2312" w:hAnsi="仿宋_GB2312" w:cs="仿宋_GB2312" w:eastAsia="仿宋_GB2312"/>
                <w:sz w:val="20"/>
              </w:rPr>
              <w:t>4) 包上的标签必须用打印的标签标注清楚批次、本批的总包数、本包号及本包条码号范围。</w:t>
            </w:r>
          </w:p>
          <w:p>
            <w:pPr>
              <w:pStyle w:val="null3"/>
            </w:pPr>
            <w:r>
              <w:rPr>
                <w:rFonts w:ascii="仿宋_GB2312" w:hAnsi="仿宋_GB2312" w:cs="仿宋_GB2312" w:eastAsia="仿宋_GB2312"/>
                <w:sz w:val="20"/>
              </w:rPr>
              <w:t>5）不同批次的包上粘贴不同颜色的标签纸，便于区分。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纸质图书分批次采购，2026年11月10日前全部到货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陕西理工大学图书馆指定地点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进度款，合同生效后，由供应商全部垫资，待分批次货物到达指定地点并验收合格后 ，支付该批次货款，达到付款条件起30个工作日内，支付合同总金额的100.0%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质保期：验收合格后1年。响应时效：若图书出现散页、错页、倒装、盗版等质量问题时，即时响应（包括电话响应），5个工作日内无条件退换。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1.采购包1合同款按批次支付，每个批次货物到达指定地点并验收合格后 ，支付该批次货款。合同款计划在2026年11月20日前全部支付完成。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提供有效的《出版物经营许可证》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投标有效期符合招标文件要求，否则投标文件作为无效处理。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完全响应3.3技术要求参数性质标注★的内容，否则投标文件作为无效处理。</w:t>
            </w:r>
          </w:p>
        </w:tc>
        <w:tc>
          <w:tcPr>
            <w:tcW w:type="dxa" w:w="1661"/>
          </w:tcPr>
          <w:p>
            <w:pPr>
              <w:pStyle w:val="null3"/>
            </w:pPr>
            <w:r>
              <w:rPr>
                <w:rFonts w:ascii="仿宋_GB2312" w:hAnsi="仿宋_GB2312" w:cs="仿宋_GB2312" w:eastAsia="仿宋_GB2312"/>
              </w:rPr>
              <w:t>技术应答表.docx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完全响应3.4商务条款和3.5其他要求，否则投标文件按无效处理。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出现不符合法律、法规和招标文件中规定的其他实质性要求的情况，附加采购人难以接受的条件，投标文件作为无效处理。</w:t>
            </w:r>
          </w:p>
        </w:tc>
        <w:tc>
          <w:tcPr>
            <w:tcW w:type="dxa" w:w="1661"/>
          </w:tcPr>
          <w:p>
            <w:pPr>
              <w:pStyle w:val="null3"/>
            </w:pPr>
            <w:r>
              <w:rPr>
                <w:rFonts w:ascii="仿宋_GB2312" w:hAnsi="仿宋_GB2312" w:cs="仿宋_GB2312" w:eastAsia="仿宋_GB2312"/>
              </w:rPr>
              <w:t>详细评审证明文件.docx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征订回告</w:t>
            </w:r>
          </w:p>
        </w:tc>
        <w:tc>
          <w:tcPr>
            <w:tcW w:type="dxa" w:w="2492"/>
          </w:tcPr>
          <w:p>
            <w:pPr>
              <w:pStyle w:val="null3"/>
            </w:pPr>
            <w:r>
              <w:rPr>
                <w:rFonts w:ascii="仿宋_GB2312" w:hAnsi="仿宋_GB2312" w:cs="仿宋_GB2312" w:eastAsia="仿宋_GB2312"/>
              </w:rPr>
              <w:t>提供项目定制化专属征订方案，全覆盖书目精准核查、冷门图书专项征集、断版绝版图书提前预警；实行24小时需求响应、48小时回告闭环，征订准确率98%，全程台账完整、可溯源、可核验。承诺完全满足上述要求得2分，其他情况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配货运送</w:t>
            </w:r>
          </w:p>
        </w:tc>
        <w:tc>
          <w:tcPr>
            <w:tcW w:type="dxa" w:w="2492"/>
          </w:tcPr>
          <w:p>
            <w:pPr>
              <w:pStyle w:val="null3"/>
            </w:pPr>
            <w:r>
              <w:rPr>
                <w:rFonts w:ascii="仿宋_GB2312" w:hAnsi="仿宋_GB2312" w:cs="仿宋_GB2312" w:eastAsia="仿宋_GB2312"/>
              </w:rPr>
              <w:t>设立项目专属仓储配货班组，执行双人核对、三级复检制度，实现配货零差错；采用图书专属定制防护包装，物流全程轨迹可查、可溯源；极端天气、货品破损、物流延误等各类突发场景应急预案全覆盖。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加工服务</w:t>
            </w:r>
          </w:p>
        </w:tc>
        <w:tc>
          <w:tcPr>
            <w:tcW w:type="dxa" w:w="2492"/>
          </w:tcPr>
          <w:p>
            <w:pPr>
              <w:pStyle w:val="null3"/>
            </w:pPr>
            <w:r>
              <w:rPr>
                <w:rFonts w:ascii="仿宋_GB2312" w:hAnsi="仿宋_GB2312" w:cs="仿宋_GB2312" w:eastAsia="仿宋_GB2312"/>
              </w:rPr>
              <w:t>提供拆包、盖馆藏章、贴条码、磁条等图书加工服务及随时提供到馆加工服务，服务商书面承诺接受图书馆全过程质量监督、建立返工台账、专人对接等。承诺完全满足上述要求得1分，其他情况不得分。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采访书目</w:t>
            </w:r>
          </w:p>
        </w:tc>
        <w:tc>
          <w:tcPr>
            <w:tcW w:type="dxa" w:w="2492"/>
          </w:tcPr>
          <w:p>
            <w:pPr>
              <w:pStyle w:val="null3"/>
            </w:pPr>
            <w:r>
              <w:rPr>
                <w:rFonts w:ascii="仿宋_GB2312" w:hAnsi="仿宋_GB2312" w:cs="仿宋_GB2312" w:eastAsia="仿宋_GB2312"/>
              </w:rPr>
              <w:t>合同期间提供主要出版社（高等教育、中国社会科学、科学、机械工业、化学工业、人民邮电、电子工业、清华大学、北京大学、中华书局）的采访书目为该出版社图书书目总量的100%，计4分，96-99%计3分，93-95%计2分，90-91%计1分，低于90不计分。以承诺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根据本项目实际需求及特点，制定图书质量保证措施，内容包括：出版物为国家批准的正式出版物、无知识产权纠纷、无盗版服务及保障措施。 二、评审标准 1.完整性：方案必须全面，对评审内容中的各项要求有详细描述； 2.可实施性：切合本项目实际情况，提出步骤清晰、合理的方案； 3.针对性：方案能够紧扣项目实际情况，内容科学合理。 三、赋分标准（满分4分） 图书质量保证措施：完全满足评审标准1得2分；满足评审标准2、3各得1分，有瑕疵得0.5分，有缺陷得0分。满分4分。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服务协议</w:t>
            </w:r>
          </w:p>
        </w:tc>
        <w:tc>
          <w:tcPr>
            <w:tcW w:type="dxa" w:w="2492"/>
          </w:tcPr>
          <w:p>
            <w:pPr>
              <w:pStyle w:val="null3"/>
            </w:pPr>
            <w:r>
              <w:rPr>
                <w:rFonts w:ascii="仿宋_GB2312" w:hAnsi="仿宋_GB2312" w:cs="仿宋_GB2312" w:eastAsia="仿宋_GB2312"/>
              </w:rPr>
              <w:t>与CALIS联合目录服务协议有效的证明材料，提供者得3分，未提供不计分。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中文编目员三级及以上证书，提供一个得1分，最高得3分。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w:t>
            </w:r>
          </w:p>
        </w:tc>
        <w:tc>
          <w:tcPr>
            <w:tcW w:type="dxa" w:w="2492"/>
          </w:tcPr>
          <w:p>
            <w:pPr>
              <w:pStyle w:val="null3"/>
            </w:pPr>
            <w:r>
              <w:rPr>
                <w:rFonts w:ascii="仿宋_GB2312" w:hAnsi="仿宋_GB2312" w:cs="仿宋_GB2312" w:eastAsia="仿宋_GB2312"/>
              </w:rPr>
              <w:t>提供与高等教育、科学、中国社会科学、机械工业、化学工业、人民邮电、电子工业、清华大学、北京大学、中华书局效的合作证明（包括但不限于有效期内销售协议或代理协议或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1分，满分10分，未提供不计分。 非以上出版社无需提供。</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合作证明II</w:t>
            </w:r>
          </w:p>
        </w:tc>
        <w:tc>
          <w:tcPr>
            <w:tcW w:type="dxa" w:w="2492"/>
          </w:tcPr>
          <w:p>
            <w:pPr>
              <w:pStyle w:val="null3"/>
            </w:pPr>
            <w:r>
              <w:rPr>
                <w:rFonts w:ascii="仿宋_GB2312" w:hAnsi="仿宋_GB2312" w:cs="仿宋_GB2312" w:eastAsia="仿宋_GB2312"/>
              </w:rPr>
              <w:t>提供与人民文学、商务印书馆、三联书店、社会科学文献、中信出版集团、中国大百科全书、中央文献、中国经济、外研、中国建筑工业的合作证明（包括但不限于有效期内销售协议或代理协议或的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0.5分，满分5分，未提供不计分。 非以上出版社无需提供。</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订货会证明材料</w:t>
            </w:r>
          </w:p>
        </w:tc>
        <w:tc>
          <w:tcPr>
            <w:tcW w:type="dxa" w:w="2492"/>
          </w:tcPr>
          <w:p>
            <w:pPr>
              <w:pStyle w:val="null3"/>
            </w:pPr>
            <w:r>
              <w:rPr>
                <w:rFonts w:ascii="仿宋_GB2312" w:hAnsi="仿宋_GB2312" w:cs="仿宋_GB2312" w:eastAsia="仿宋_GB2312"/>
              </w:rPr>
              <w:t>提供2024年以来主办/协办线上/线下订货会的证明及相关材料，每主办/协办一次得2分，满分10分，未提供不计分。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售后服务内容及机构</w:t>
            </w:r>
          </w:p>
        </w:tc>
        <w:tc>
          <w:tcPr>
            <w:tcW w:type="dxa" w:w="2492"/>
          </w:tcPr>
          <w:p>
            <w:pPr>
              <w:pStyle w:val="null3"/>
            </w:pPr>
            <w:r>
              <w:rPr>
                <w:rFonts w:ascii="仿宋_GB2312" w:hAnsi="仿宋_GB2312" w:cs="仿宋_GB2312" w:eastAsia="仿宋_GB2312"/>
              </w:rPr>
              <w:t>一、评审内容 根据本项目实际需求及特点，提供售后服务内容及服务机构。 二、评审标准 1.完整性：方案必须全面，对评审内容中的各项要求有详细描述； 2.可实施性：切合本项目实际情况，提出步骤清晰、合理的方案； 3.针对性：方案能够紧扣项目实际情况，内容科学合理。 三、赋分标准（满分3分） 完全满足每个评审标准得1分，有瑕疵得0.5分，有缺陷得0分。满分3分。备注：瑕疵是指存在不完全满足评分标准，但项目仍可实施。缺陷是指为不满足评分标准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售后服务保障措施</w:t>
            </w:r>
          </w:p>
        </w:tc>
        <w:tc>
          <w:tcPr>
            <w:tcW w:type="dxa" w:w="2492"/>
          </w:tcPr>
          <w:p>
            <w:pPr>
              <w:pStyle w:val="null3"/>
            </w:pPr>
            <w:r>
              <w:rPr>
                <w:rFonts w:ascii="仿宋_GB2312" w:hAnsi="仿宋_GB2312" w:cs="仿宋_GB2312" w:eastAsia="仿宋_GB2312"/>
              </w:rPr>
              <w:t>一、评审内容 根据本项目实际需求及特点，制定售后服务保障措施。 二、评审标准 1.完整性：方案必须全面，对评审内容中的各项要求有详细描述； 2.可实施性：切合本项目实际情况，提出步骤清晰、合理的方案； 3.针对性：方案能够紧扣项目实际情况，内容科学合理。 三、赋分标准（满分3分） 完全满足每个评审标准得1分，有瑕疵得0.5分，有缺陷得0分。满分3分。备注：瑕疵是指存在不完全满足评分标准，但项目仍可实施。缺陷是指为不满足评分标准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质量跟踪方案</w:t>
            </w:r>
          </w:p>
        </w:tc>
        <w:tc>
          <w:tcPr>
            <w:tcW w:type="dxa" w:w="2492"/>
          </w:tcPr>
          <w:p>
            <w:pPr>
              <w:pStyle w:val="null3"/>
            </w:pPr>
            <w:r>
              <w:rPr>
                <w:rFonts w:ascii="仿宋_GB2312" w:hAnsi="仿宋_GB2312" w:cs="仿宋_GB2312" w:eastAsia="仿宋_GB2312"/>
              </w:rPr>
              <w:t>一、评审内容 根据本项目实际需求及特点，质量跟踪方案，内容包括：针对问题产品的质量跟踪及问题解决方案等。 二、评审标准 1.完整性：方案必须全面，对评审内容中的各项要求有详细描述； 2.可实施性：切合本项目实际情况，提出步骤清晰、合理的方案； 3.针对性：方案能够紧扣项目实际情况，内容科学合理。 三、赋分标准（满分3分） 每完全满足一项评审标准得1分，有瑕疵得0.5分，有缺陷得0分。满分3分。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退换货服务方案</w:t>
            </w:r>
          </w:p>
        </w:tc>
        <w:tc>
          <w:tcPr>
            <w:tcW w:type="dxa" w:w="2492"/>
          </w:tcPr>
          <w:p>
            <w:pPr>
              <w:pStyle w:val="null3"/>
            </w:pPr>
            <w:r>
              <w:rPr>
                <w:rFonts w:ascii="仿宋_GB2312" w:hAnsi="仿宋_GB2312" w:cs="仿宋_GB2312" w:eastAsia="仿宋_GB2312"/>
              </w:rPr>
              <w:t>一、评审内容 根据本项目实际需求及特点，制定退换货服务方案（内容包括响应时间（完成取件、免费补发、闭环办结）。二、评审标准 1.完整性：方案必须全面，对评审内容中的各项要求有详细描述； 2.可实施性：切合本项目实际情况，提出步骤清晰、合理的方案； 3.针对性：方案能够紧扣项目实际情况，内容科学合理。 三、赋分标准（满分3分） 完全满足每个评审标准得1分，有瑕疵得0.5分，有缺陷得0分。满分3分。备注：瑕疵是指存在不完全满足评分标准，但项目仍可实施。缺陷是指为不满足评分标准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根据本项目实际需求及特点，制定应急预案。 二、评审标准 1.完整性：方案必须全面，对评审内容中的各项要求有详细描述； 2.可实施性：切合本项目实际情况，提出步骤清晰、合理的方案； 3.针对性：方案能够紧扣项目实际情况，内容科学合理。 三、赋分标准（满分3分） 完全满足每个评审标准得1分，有瑕疵得0.5分，有缺陷得0分。满分3分。备注：瑕疵是指存在不完全满足评分标准，但项目仍可实施。缺陷是指为不满足评分标准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提供自2025年1月1日至今的同类项目合同，每份合同计1分，计满10分为止（以签订合同时间为准）。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现采场地</w:t>
            </w:r>
          </w:p>
        </w:tc>
        <w:tc>
          <w:tcPr>
            <w:tcW w:type="dxa" w:w="2492"/>
          </w:tcPr>
          <w:p>
            <w:pPr>
              <w:pStyle w:val="null3"/>
            </w:pPr>
            <w:r>
              <w:rPr>
                <w:rFonts w:ascii="仿宋_GB2312" w:hAnsi="仿宋_GB2312" w:cs="仿宋_GB2312" w:eastAsia="仿宋_GB2312"/>
              </w:rPr>
              <w:t>供应商提供现采的现货库房（含零售卖场）或者样本库（须提供房产证明或房屋租赁合同复印件）得2分。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投标报价得分=（评标基准价/投标报价）×权值（30分） 投标报价为折扣，折扣=实洋÷码洋 评审基准为为有效投标报价的最低价。 注：计算得分时四舍五入取小数点后两位。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详见附件：详细评审证明文件.docx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