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版本号：WSQ-2026-10120260519001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文明文物基因保存与学术展示项目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WSQ-2026-101</w:t>
      </w:r>
      <w:r>
        <w:br/>
      </w:r>
      <w:r>
        <w:br/>
      </w:r>
      <w:r>
        <w:br/>
      </w:r>
    </w:p>
    <w:p>
      <w:pPr>
        <w:pStyle w:val="null3"/>
        <w:jc w:val="center"/>
        <w:outlineLvl w:val="2"/>
      </w:pPr>
      <w:r>
        <w:rPr>
          <w:rFonts w:ascii="仿宋_GB2312" w:hAnsi="仿宋_GB2312" w:cs="仿宋_GB2312" w:eastAsia="仿宋_GB2312"/>
          <w:sz w:val="28"/>
          <w:b/>
        </w:rPr>
        <w:t>陕西省考古研究院</w:t>
      </w:r>
    </w:p>
    <w:p>
      <w:pPr>
        <w:pStyle w:val="null3"/>
        <w:jc w:val="center"/>
        <w:outlineLvl w:val="2"/>
      </w:pPr>
      <w:r>
        <w:rPr>
          <w:rFonts w:ascii="仿宋_GB2312" w:hAnsi="仿宋_GB2312" w:cs="仿宋_GB2312" w:eastAsia="仿宋_GB2312"/>
          <w:sz w:val="28"/>
          <w:b/>
        </w:rPr>
        <w:t>陕西旺生泉项目管理有限公司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陕西旺生泉项目管理有限公司</w:t>
      </w:r>
      <w:r>
        <w:rPr>
          <w:rFonts w:ascii="仿宋_GB2312" w:hAnsi="仿宋_GB2312" w:cs="仿宋_GB2312" w:eastAsia="仿宋_GB2312"/>
        </w:rPr>
        <w:t>（以下简称“代理机构”）受</w:t>
      </w:r>
      <w:r>
        <w:rPr>
          <w:rFonts w:ascii="仿宋_GB2312" w:hAnsi="仿宋_GB2312" w:cs="仿宋_GB2312" w:eastAsia="仿宋_GB2312"/>
        </w:rPr>
        <w:t>陕西省考古研究院</w:t>
      </w:r>
      <w:r>
        <w:rPr>
          <w:rFonts w:ascii="仿宋_GB2312" w:hAnsi="仿宋_GB2312" w:cs="仿宋_GB2312" w:eastAsia="仿宋_GB2312"/>
        </w:rPr>
        <w:t>委托，拟对</w:t>
      </w:r>
      <w:r>
        <w:rPr>
          <w:rFonts w:ascii="仿宋_GB2312" w:hAnsi="仿宋_GB2312" w:cs="仿宋_GB2312" w:eastAsia="仿宋_GB2312"/>
        </w:rPr>
        <w:t>文明文物基因保存与学术展示项目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WSQ-2026-101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文明文物基因保存与学术展示项目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根据展陈大纲，完成883.5平方米的展厅规划设计、基础装修、展陈搭建、环境营造、配套设施建设及标本布展上架。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采购包1（文明文物基因保存与学术展示项目）：属于专门面向中小企业采购。</w:t>
      </w:r>
    </w:p>
    <w:p>
      <w:pPr>
        <w:pStyle w:val="null3"/>
      </w:pPr>
      <w:r>
        <w:rPr>
          <w:rFonts w:ascii="仿宋_GB2312" w:hAnsi="仿宋_GB2312" w:cs="仿宋_GB2312" w:eastAsia="仿宋_GB2312"/>
        </w:rPr>
        <w:t>供应商以联合体形式参加本采购包的，联合体各方应当为中小企业。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pPr>
        <w:pStyle w:val="null3"/>
      </w:pPr>
      <w:r>
        <w:rPr>
          <w:rFonts w:ascii="仿宋_GB2312" w:hAnsi="仿宋_GB2312" w:cs="仿宋_GB2312" w:eastAsia="仿宋_GB2312"/>
        </w:rPr>
        <w:t>2、企业资质要求：须同时具备以下资质： 设计资质：供应商须同时具备①中国博物馆协会博物馆陈列展览设计丙级（含丙级）及以上资质；②工程设计综合资质或建筑装饰工程设计专项乙级(含乙级)以上资质；供应商需在项目电子化交易系统中按要求上传相应证明文件并进行电子签章。 施工资质：供应商须同时具备①中国博物馆协会博物馆陈列展览施工三级（含三级）以上资质；②建设行政主管部门颁发的建筑装饰装修工程专业承包二级（含二级）以上资质和有效的安全生产许可证；供应商需在项目电子化交易系统中按要求上传相应证明文件并进行电子签章。</w:t>
      </w:r>
    </w:p>
    <w:p>
      <w:pPr>
        <w:pStyle w:val="null3"/>
      </w:pPr>
      <w:r>
        <w:rPr>
          <w:rFonts w:ascii="仿宋_GB2312" w:hAnsi="仿宋_GB2312" w:cs="仿宋_GB2312" w:eastAsia="仿宋_GB2312"/>
        </w:rPr>
        <w:t>3、供应商拟派工程总承包项目负责人资格要求：须具备建筑工程专业二级（含二级）以上注册建造师执业资格及有效的安全生产考核合格证（建安B证），在本单位注册（提供证书或证件），未担任其它在施建设工程的工程总承包项目负责人、施工负责人（无在建提供承诺）；拟派工程总承包项目负责人与设计负责人或施工负责人可为同一人，但须同时满足其资格要求。供应商需在项目电子化交易系统中按要求上传相应证明文件并进行电子签章。</w:t>
      </w:r>
    </w:p>
    <w:p>
      <w:pPr>
        <w:pStyle w:val="null3"/>
      </w:pPr>
      <w:r>
        <w:rPr>
          <w:rFonts w:ascii="仿宋_GB2312" w:hAnsi="仿宋_GB2312" w:cs="仿宋_GB2312" w:eastAsia="仿宋_GB2312"/>
        </w:rPr>
        <w:t>4、供应商拟派设计项目负责人资格要求：须具备二级（含二级）以上注册建筑师执业资格或设计相关专业中级（含中级）以上技术职称，若为注册建筑师须在本单位注册（提供证书或证件）。供应商需在项目电子化交易系统中按要求上传相应证明文件并进行电子签章。</w:t>
      </w:r>
    </w:p>
    <w:p>
      <w:pPr>
        <w:pStyle w:val="null3"/>
      </w:pPr>
      <w:r>
        <w:rPr>
          <w:rFonts w:ascii="仿宋_GB2312" w:hAnsi="仿宋_GB2312" w:cs="仿宋_GB2312" w:eastAsia="仿宋_GB2312"/>
        </w:rPr>
        <w:t>5、供应商拟派施工项目负责人资格要求：须具备建筑工程专业二级（含二级）以上注册建造师执业资格及有效的安全生产考核合格证（建安B证），在本单位注册（提供证书或证件），未担任其它在施建设工程的工程总承包项目经理、施工负责人（提供承诺）；供应商需在项目电子化交易系统中按要求上传相应证明文件并进行电子签章。</w:t>
      </w:r>
    </w:p>
    <w:p>
      <w:pPr>
        <w:pStyle w:val="null3"/>
      </w:pPr>
      <w:r>
        <w:rPr>
          <w:rFonts w:ascii="仿宋_GB2312" w:hAnsi="仿宋_GB2312" w:cs="仿宋_GB2312" w:eastAsia="仿宋_GB2312"/>
        </w:rPr>
        <w:t>6、财务状况报告：提供2024年度或2025年度完整的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7、社保缴纳证明：提供递交响应文件截止之日前一年内任意一个月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p>
      <w:pPr>
        <w:pStyle w:val="null3"/>
      </w:pPr>
      <w:r>
        <w:rPr>
          <w:rFonts w:ascii="仿宋_GB2312" w:hAnsi="仿宋_GB2312" w:cs="仿宋_GB2312" w:eastAsia="仿宋_GB2312"/>
        </w:rPr>
        <w:t>8、税收缴纳证明：提供递交响应文件截止之日前一年内任意一个月的依法缴纳税收的相关凭据，凭据应有税务机关或代收机关的公章或业务专用章。依法免税或无须缴纳税收的供应商，应提供相应证明文件；供应商需在项目电子化交易系统中按要求上传相应证明文件并进行电子签章。</w:t>
      </w:r>
    </w:p>
    <w:p>
      <w:pPr>
        <w:pStyle w:val="null3"/>
      </w:pPr>
      <w:r>
        <w:rPr>
          <w:rFonts w:ascii="仿宋_GB2312" w:hAnsi="仿宋_GB2312" w:cs="仿宋_GB2312" w:eastAsia="仿宋_GB2312"/>
        </w:rPr>
        <w:t>9、法定代表人授权委托书：法定代表人直接参加磋商的，须出具法定代表人身份证及法定代表人身份证明，法定代表人授权代表参加磋商的，须出具法定代表人授权书及授权代表身份证；供应商需在项目电子化交易系统中按要求上传相应证明文件并进行电子签章。</w:t>
      </w:r>
    </w:p>
    <w:p>
      <w:pPr>
        <w:pStyle w:val="null3"/>
      </w:pPr>
      <w:r>
        <w:rPr>
          <w:rFonts w:ascii="仿宋_GB2312" w:hAnsi="仿宋_GB2312" w:cs="仿宋_GB2312" w:eastAsia="仿宋_GB2312"/>
        </w:rPr>
        <w:t>10、无重大违法记录：供应商参加政府采购活动前3年内在经营活动中没有重大违法记录；供应商需在项目电子化交易系统中按要求填写《响应函》完成承诺并进行电子签章。</w:t>
      </w:r>
    </w:p>
    <w:p>
      <w:pPr>
        <w:pStyle w:val="null3"/>
      </w:pPr>
      <w:r>
        <w:rPr>
          <w:rFonts w:ascii="仿宋_GB2312" w:hAnsi="仿宋_GB2312" w:cs="仿宋_GB2312" w:eastAsia="仿宋_GB2312"/>
        </w:rPr>
        <w:t>11、信用主体查询：供应商未被列入“信用中国网站（www.creditchina.gov.cn）” 严重失信主体名单查询或重大税收违法失信主体名单；未被列入“国家执行信息公开网（https://zxgk.court.gov.cn/shixin/）” 失信被执行人；不处于“中国政府采购网（www.ccgp.gov.cn）” 政府采购严重违法失信行为信息记录中的禁止参</w:t>
      </w:r>
    </w:p>
    <w:p>
      <w:pPr>
        <w:pStyle w:val="null3"/>
      </w:pPr>
      <w:r>
        <w:rPr>
          <w:rFonts w:ascii="仿宋_GB2312" w:hAnsi="仿宋_GB2312" w:cs="仿宋_GB2312" w:eastAsia="仿宋_GB2312"/>
        </w:rPr>
        <w:t>12、其他承诺响应：具有履行合同所必需的设备和专业技术能力；未为本项目提供整体设计、规范编制或者项目管理、监理、检测等服务；供应商需在项目电子化交易系统中按要求填写《响应函》完成承诺并进行电子签章。</w:t>
      </w:r>
    </w:p>
    <w:p>
      <w:pPr>
        <w:pStyle w:val="null3"/>
      </w:pPr>
      <w:r>
        <w:rPr>
          <w:rFonts w:ascii="仿宋_GB2312" w:hAnsi="仿宋_GB2312" w:cs="仿宋_GB2312" w:eastAsia="仿宋_GB2312"/>
        </w:rPr>
        <w:t>13、控股管理关系：单位负责人为同一人或者存在直接控股、管理关系的供应商，不得参加同一合同下的政府采购活动；供应商需在项目电子化交易系统中按要求填写《响应函》完成承诺并进行电子签章。</w:t>
      </w:r>
    </w:p>
    <w:p>
      <w:pPr>
        <w:pStyle w:val="null3"/>
      </w:pPr>
      <w:r>
        <w:rPr>
          <w:rFonts w:ascii="仿宋_GB2312" w:hAnsi="仿宋_GB2312" w:cs="仿宋_GB2312" w:eastAsia="仿宋_GB2312"/>
        </w:rPr>
        <w:t>14、联合体：本项目接受联合体投标，以联合体方式参与投标的应提供联合体协议书，明确联合体牵头人，组成联合体成员不得超过2家。具体分工以联合体协议约定为准，资质等级按联合协议中的分工对应的单位资质等级进行确定。联合体投标的由联合体牵头单位负责投标全过程，包括但不限于领取招标文件、响应文件编制与递交、委托人授权、接收答疑、回复澄清、主张或放弃权利、签字盖章和合同谈判活动，代表联合体提交和接收相关的资料、信息及指示，处理与之有关的一切事务，并负责合同实施阶段的主办、组织和协调工作等投标与中标后事宜相关的全部事宜。联合体各方不得再以自己的名义单独或参加其他联合体在同一项目中投标，否则其投标和与此相关的联合体投标将被拒绝；供应商需在项目电子化交易系统中按要求填写《联合体投标协议书》并进行电子签章。</w:t>
      </w:r>
    </w:p>
    <w:p>
      <w:pPr>
        <w:pStyle w:val="null3"/>
      </w:pPr>
      <w:r>
        <w:rPr>
          <w:rFonts w:ascii="仿宋_GB2312" w:hAnsi="仿宋_GB2312" w:cs="仿宋_GB2312" w:eastAsia="仿宋_GB2312"/>
        </w:rPr>
        <w:t>15、中小企业：本项目为专门面向中小企业的采购，供应商应为中型企业、小型企业、微型企业或监狱企业或残疾人福利性单位，需提供《中小企业声明函》或《监狱企业的证明文件》或《残疾人福利性单位声明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陕西省考古研究院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陕西省西安市长安区郭杜街道周家庄村南文苑南路东</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029-89053256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陕西旺生泉项目管理有限公司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陕西省西安市高新区沣惠南路34号摩尔中心1幢11601室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李婷婷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029-84198629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采购包1：3,282,500.00元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招标代理服务收费暂行办法》（计价格[2002]1980号）文件规定，按照优惠后的下浮费率收费计取，成交服务费按差额定率累进法计算，分包的项目，按包收取。100以下（不含）： 不下浮； 100（含）-500（不含）：下浮10%； 500（含）-1000（不含）：下浮20%。 代理费缴纳账号信息： 公司名称：陕西旺生泉项目管理有限公司 开户行：中国银行股份有限公司西安南郊支行 账号：103694288939</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陕西省考古研究院</w:t>
      </w:r>
      <w:r>
        <w:rPr>
          <w:rFonts w:ascii="仿宋_GB2312" w:hAnsi="仿宋_GB2312" w:cs="仿宋_GB2312" w:eastAsia="仿宋_GB2312"/>
        </w:rPr>
        <w:t>和</w:t>
      </w:r>
      <w:r>
        <w:rPr>
          <w:rFonts w:ascii="仿宋_GB2312" w:hAnsi="仿宋_GB2312" w:cs="仿宋_GB2312" w:eastAsia="仿宋_GB2312"/>
        </w:rPr>
        <w:t>陕西旺生泉项目管理有限公司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陕西省考古研究院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陕西旺生泉项目管理有限公司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陕西省考古研究院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陕西旺生泉项目管理有限公司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以甲方确认的施工图纸、设计变更和《建筑装饰装修工程质量验收规范GB50210-2001》、《建筑电器工程施工质量检验规范GB50303-2002》等国家制订的施工及验收规范为质量评定标准，并依据国家文物行政主管部门有关文物、博物馆相关法规验收，质量应达到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陕西旺生泉项目管理有限公司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陕西旺生泉项目管理有限公司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陕西旺生泉项目管理有限公司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联系人：李婷婷</w:t>
      </w:r>
    </w:p>
    <w:p>
      <w:pPr>
        <w:pStyle w:val="null3"/>
      </w:pPr>
      <w:r>
        <w:rPr>
          <w:rFonts w:ascii="仿宋_GB2312" w:hAnsi="仿宋_GB2312" w:cs="仿宋_GB2312" w:eastAsia="仿宋_GB2312"/>
        </w:rPr>
        <w:t>联系电话：15389248069</w:t>
      </w:r>
    </w:p>
    <w:p>
      <w:pPr>
        <w:pStyle w:val="null3"/>
      </w:pPr>
      <w:r>
        <w:rPr>
          <w:rFonts w:ascii="仿宋_GB2312" w:hAnsi="仿宋_GB2312" w:cs="仿宋_GB2312" w:eastAsia="仿宋_GB2312"/>
        </w:rPr>
        <w:t>地址：陕西省西安市高新区沣惠南路34号摩尔中心A座16层1601室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3,282,500.00</w:t>
      </w:r>
    </w:p>
    <w:p>
      <w:pPr>
        <w:pStyle w:val="null3"/>
      </w:pPr>
      <w:r>
        <w:rPr>
          <w:rFonts w:ascii="仿宋_GB2312" w:hAnsi="仿宋_GB2312" w:cs="仿宋_GB2312" w:eastAsia="仿宋_GB2312"/>
        </w:rPr>
        <w:t>采购包最高限价（元）: 3,282,500.00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文明文物基因保存与学术展示项目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3,282,500.00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标的名称：文明文物基因保存与学术展示项目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项目概况</w:t>
            </w:r>
          </w:p>
          <w:p>
            <w:pPr>
              <w:pStyle w:val="null3"/>
            </w:pPr>
            <w:r>
              <w:rPr>
                <w:rFonts w:ascii="仿宋_GB2312" w:hAnsi="仿宋_GB2312" w:cs="仿宋_GB2312" w:eastAsia="仿宋_GB2312"/>
                <w:sz w:val="24"/>
              </w:rPr>
              <w:t>根据展陈大纲，完成</w:t>
            </w:r>
            <w:r>
              <w:rPr>
                <w:rFonts w:ascii="仿宋_GB2312" w:hAnsi="仿宋_GB2312" w:cs="仿宋_GB2312" w:eastAsia="仿宋_GB2312"/>
                <w:sz w:val="24"/>
              </w:rPr>
              <w:t>883.5平方米的展厅规划设计、基础装修、展陈搭建、环境营造、配套设施建设及标本布展上架。</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技术要求</w:t>
            </w:r>
          </w:p>
          <w:p>
            <w:pPr>
              <w:pStyle w:val="null3"/>
              <w:jc w:val="both"/>
            </w:pPr>
            <w:r>
              <w:rPr>
                <w:rFonts w:ascii="仿宋_GB2312" w:hAnsi="仿宋_GB2312" w:cs="仿宋_GB2312" w:eastAsia="仿宋_GB2312"/>
                <w:sz w:val="24"/>
                <w:b/>
              </w:rPr>
              <w:t>（一）陈列展览设计基本要求</w:t>
            </w:r>
          </w:p>
          <w:p>
            <w:pPr>
              <w:pStyle w:val="null3"/>
              <w:jc w:val="both"/>
            </w:pPr>
            <w:r>
              <w:rPr>
                <w:rFonts w:ascii="仿宋_GB2312" w:hAnsi="仿宋_GB2312" w:cs="仿宋_GB2312" w:eastAsia="仿宋_GB2312"/>
                <w:sz w:val="24"/>
              </w:rPr>
              <w:t>1．设计单位结合形式概念设计、陈列内容大纲进行进一步的修订和完善，形成规范合理的形式设计方案。</w:t>
            </w:r>
          </w:p>
          <w:p>
            <w:pPr>
              <w:pStyle w:val="null3"/>
              <w:jc w:val="both"/>
            </w:pPr>
            <w:r>
              <w:rPr>
                <w:rFonts w:ascii="仿宋_GB2312" w:hAnsi="仿宋_GB2312" w:cs="仿宋_GB2312" w:eastAsia="仿宋_GB2312"/>
                <w:sz w:val="24"/>
              </w:rPr>
              <w:t>2．在陈列深化设计上，要将陈列效果、环境氛围与博物馆建筑风格、周边环境相融合，并充分利用展厅空间，保持展览的连贯性和统一性。既起到烘托展示内容的作用，又能为观众创造舒适的参观环境。</w:t>
            </w:r>
          </w:p>
          <w:p>
            <w:pPr>
              <w:pStyle w:val="null3"/>
              <w:jc w:val="both"/>
            </w:pPr>
            <w:r>
              <w:rPr>
                <w:rFonts w:ascii="仿宋_GB2312" w:hAnsi="仿宋_GB2312" w:cs="仿宋_GB2312" w:eastAsia="仿宋_GB2312"/>
                <w:sz w:val="24"/>
              </w:rPr>
              <w:t>3．形式设计语言须符合博物馆各陈列主题的表达方式，做到主题突出，形式多样，创新性强，内容与形式完美统一。</w:t>
            </w:r>
          </w:p>
          <w:p>
            <w:pPr>
              <w:pStyle w:val="null3"/>
              <w:jc w:val="both"/>
            </w:pPr>
            <w:r>
              <w:rPr>
                <w:rFonts w:ascii="仿宋_GB2312" w:hAnsi="仿宋_GB2312" w:cs="仿宋_GB2312" w:eastAsia="仿宋_GB2312"/>
                <w:sz w:val="24"/>
              </w:rPr>
              <w:t>4．平面布局和展线安排，应在对博物馆展厅空间结构、展览内容及展品、初步设计方案，科学、合理、适度地进行优化提升。做到布局得当、分配合理、节奏有致、重点突出；应合理安排观众参观路线，做到展线流畅，易于安全疏散。</w:t>
            </w:r>
          </w:p>
          <w:p>
            <w:pPr>
              <w:pStyle w:val="null3"/>
              <w:jc w:val="both"/>
            </w:pPr>
            <w:r>
              <w:rPr>
                <w:rFonts w:ascii="仿宋_GB2312" w:hAnsi="仿宋_GB2312" w:cs="仿宋_GB2312" w:eastAsia="仿宋_GB2312"/>
                <w:sz w:val="24"/>
              </w:rPr>
              <w:t>5．艺术表现方式和科技展现手段要力求创新，避免与其他博物馆陈列方式雷同；展示手段必须新颖、多样，应设计制作适宜且具有特色的观众互动项目，注重观众的参与性，增强展览的生动性、观赏性、趣味性。</w:t>
            </w:r>
          </w:p>
          <w:p>
            <w:pPr>
              <w:pStyle w:val="null3"/>
              <w:jc w:val="both"/>
            </w:pPr>
            <w:r>
              <w:rPr>
                <w:rFonts w:ascii="仿宋_GB2312" w:hAnsi="仿宋_GB2312" w:cs="仿宋_GB2312" w:eastAsia="仿宋_GB2312"/>
                <w:sz w:val="24"/>
              </w:rPr>
              <w:t>6．场景等艺术设计构思要立意准确，构图布局合理，制作工艺精良，艺术感染力强。多媒体展项要切合展览内容与主题，富有生动性和互动感，性能优良，操作简便，容易维护，价格合理。</w:t>
            </w:r>
          </w:p>
          <w:p>
            <w:pPr>
              <w:pStyle w:val="null3"/>
              <w:jc w:val="both"/>
            </w:pPr>
            <w:r>
              <w:rPr>
                <w:rFonts w:ascii="仿宋_GB2312" w:hAnsi="仿宋_GB2312" w:cs="仿宋_GB2312" w:eastAsia="仿宋_GB2312"/>
                <w:sz w:val="24"/>
              </w:rPr>
              <w:t>7．辅助展品及装饰材料等展陈设计的取材要讲究绿色低碳环保，辅助展品的设计制作应符合展陈功能需求，加工精细。</w:t>
            </w:r>
          </w:p>
          <w:p>
            <w:pPr>
              <w:pStyle w:val="null3"/>
              <w:jc w:val="both"/>
            </w:pPr>
            <w:r>
              <w:rPr>
                <w:rFonts w:ascii="仿宋_GB2312" w:hAnsi="仿宋_GB2312" w:cs="仿宋_GB2312" w:eastAsia="仿宋_GB2312"/>
                <w:sz w:val="24"/>
              </w:rPr>
              <w:t>8．展柜设计符合博物馆相关规范要求，应考虑展品存取方便、安全可靠，制作优良、经久耐用，符合本馆文物特征、属性。设备和产品的设计、生产和安装必须符合国家有关规范和标准，以保证展品的安全及观众参观的舒适性。相关设备和产品应具备较高的标准化程度，便于安装和拓展其他功能，并保证配套有完善的售后服务。</w:t>
            </w:r>
          </w:p>
          <w:p>
            <w:pPr>
              <w:pStyle w:val="null3"/>
              <w:jc w:val="both"/>
            </w:pPr>
            <w:r>
              <w:rPr>
                <w:rFonts w:ascii="仿宋_GB2312" w:hAnsi="仿宋_GB2312" w:cs="仿宋_GB2312" w:eastAsia="仿宋_GB2312"/>
                <w:sz w:val="24"/>
              </w:rPr>
              <w:t>9．照明灯具必须是博物馆专用照明，多媒体等相关设备应做到质量优良、经久耐用。设备和产品的设计、生产、采购和安装必须符合各项国家安全规范和标准，以保证展品的安全及观众参观的舒适性，并保证配套有完善的售后服务。</w:t>
            </w:r>
          </w:p>
          <w:p>
            <w:pPr>
              <w:pStyle w:val="null3"/>
              <w:jc w:val="both"/>
            </w:pPr>
            <w:r>
              <w:rPr>
                <w:rFonts w:ascii="仿宋_GB2312" w:hAnsi="仿宋_GB2312" w:cs="仿宋_GB2312" w:eastAsia="仿宋_GB2312"/>
                <w:sz w:val="24"/>
              </w:rPr>
              <w:t>10．本项目实施范围内的展览多媒体项目，包括但不限于：软件制作开发、硬件采购及安装调试维护等。所有多媒体内容必须符合本馆全局性多媒体系统管理，必须配合全局性多媒体项目管理的实施。采用电源时序器等展厅内弱电集中管理系统便于展厅内展项使用的投影仪、播放器、屏幕等媒体设备统一集中管理。</w:t>
            </w:r>
          </w:p>
          <w:p>
            <w:pPr>
              <w:pStyle w:val="null3"/>
              <w:jc w:val="both"/>
            </w:pPr>
            <w:r>
              <w:rPr>
                <w:rFonts w:ascii="仿宋_GB2312" w:hAnsi="仿宋_GB2312" w:cs="仿宋_GB2312" w:eastAsia="仿宋_GB2312"/>
                <w:sz w:val="24"/>
              </w:rPr>
              <w:t>11．各展区内多媒体等设备应考虑与博物馆网线及智慧博物馆系统集成和衔接。</w:t>
            </w:r>
          </w:p>
          <w:p>
            <w:pPr>
              <w:pStyle w:val="null3"/>
              <w:jc w:val="both"/>
            </w:pPr>
            <w:r>
              <w:rPr>
                <w:rFonts w:ascii="仿宋_GB2312" w:hAnsi="仿宋_GB2312" w:cs="仿宋_GB2312" w:eastAsia="仿宋_GB2312"/>
                <w:sz w:val="24"/>
              </w:rPr>
              <w:t>12．展标、前言、展板、说明牌等文字内容采用中英双语，须由招标人认可的专业人员进行英文翻译及校对。各展馆内的视觉导引系统应有整体、统一的专业设计。</w:t>
            </w:r>
          </w:p>
          <w:p>
            <w:pPr>
              <w:pStyle w:val="null3"/>
              <w:jc w:val="both"/>
            </w:pPr>
            <w:r>
              <w:rPr>
                <w:rFonts w:ascii="仿宋_GB2312" w:hAnsi="仿宋_GB2312" w:cs="仿宋_GB2312" w:eastAsia="仿宋_GB2312"/>
                <w:sz w:val="24"/>
              </w:rPr>
              <w:t>13．不得在展厅设计中采用任何带有政治问题、种族歧视、道德争议、版权问题等的场景、图片、影像、色彩、道具、声音、说明、标识等；如因此产生任何不良后果，责任由中标人承担。</w:t>
            </w:r>
          </w:p>
          <w:p>
            <w:pPr>
              <w:pStyle w:val="null3"/>
              <w:jc w:val="both"/>
            </w:pPr>
            <w:r>
              <w:rPr>
                <w:rFonts w:ascii="仿宋_GB2312" w:hAnsi="仿宋_GB2312" w:cs="仿宋_GB2312" w:eastAsia="仿宋_GB2312"/>
                <w:sz w:val="24"/>
                <w:b/>
              </w:rPr>
              <w:t>（二）设计文本要求（包括但不限于以下内容）</w:t>
            </w:r>
          </w:p>
          <w:p>
            <w:pPr>
              <w:pStyle w:val="null3"/>
              <w:jc w:val="both"/>
            </w:pPr>
            <w:r>
              <w:rPr>
                <w:rFonts w:ascii="仿宋_GB2312" w:hAnsi="仿宋_GB2312" w:cs="仿宋_GB2312" w:eastAsia="仿宋_GB2312"/>
                <w:sz w:val="24"/>
              </w:rPr>
              <w:t>1、设计说明书</w:t>
            </w:r>
          </w:p>
          <w:p>
            <w:pPr>
              <w:pStyle w:val="null3"/>
              <w:jc w:val="both"/>
            </w:pPr>
            <w:r>
              <w:rPr>
                <w:rFonts w:ascii="仿宋_GB2312" w:hAnsi="仿宋_GB2312" w:cs="仿宋_GB2312" w:eastAsia="仿宋_GB2312"/>
                <w:sz w:val="24"/>
              </w:rPr>
              <w:t>2、设计图纸</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1）深化设计（方案）包括：</w:t>
            </w:r>
          </w:p>
          <w:p>
            <w:pPr>
              <w:pStyle w:val="null3"/>
              <w:jc w:val="both"/>
            </w:pPr>
            <w:r>
              <w:rPr>
                <w:rFonts w:ascii="仿宋_GB2312" w:hAnsi="仿宋_GB2312" w:cs="仿宋_GB2312" w:eastAsia="仿宋_GB2312"/>
                <w:sz w:val="24"/>
              </w:rPr>
              <w:t>①陈列总平面图、各部分平面图、观众流线图、展项分布图；</w:t>
            </w:r>
          </w:p>
          <w:p>
            <w:pPr>
              <w:pStyle w:val="null3"/>
              <w:jc w:val="both"/>
            </w:pPr>
            <w:r>
              <w:rPr>
                <w:rFonts w:ascii="仿宋_GB2312" w:hAnsi="仿宋_GB2312" w:cs="仿宋_GB2312" w:eastAsia="仿宋_GB2312"/>
                <w:sz w:val="24"/>
              </w:rPr>
              <w:t>②空间轴侧图、展厅全景透视图；</w:t>
            </w:r>
          </w:p>
          <w:p>
            <w:pPr>
              <w:pStyle w:val="null3"/>
              <w:jc w:val="both"/>
            </w:pPr>
            <w:r>
              <w:rPr>
                <w:rFonts w:ascii="仿宋_GB2312" w:hAnsi="仿宋_GB2312" w:cs="仿宋_GB2312" w:eastAsia="仿宋_GB2312"/>
                <w:sz w:val="24"/>
              </w:rPr>
              <w:t>③陈列设备造型图，包括展柜、壁龛、展台、展墙的设计图；</w:t>
            </w:r>
          </w:p>
          <w:p>
            <w:pPr>
              <w:pStyle w:val="null3"/>
              <w:jc w:val="both"/>
            </w:pPr>
            <w:r>
              <w:rPr>
                <w:rFonts w:ascii="仿宋_GB2312" w:hAnsi="仿宋_GB2312" w:cs="仿宋_GB2312" w:eastAsia="仿宋_GB2312"/>
                <w:sz w:val="24"/>
              </w:rPr>
              <w:t>④典型展品组合效果图，包括序厅和各个部分、单元重点和亮点的效果图；</w:t>
            </w:r>
          </w:p>
          <w:p>
            <w:pPr>
              <w:pStyle w:val="null3"/>
              <w:jc w:val="both"/>
            </w:pPr>
            <w:r>
              <w:rPr>
                <w:rFonts w:ascii="仿宋_GB2312" w:hAnsi="仿宋_GB2312" w:cs="仿宋_GB2312" w:eastAsia="仿宋_GB2312"/>
                <w:sz w:val="24"/>
              </w:rPr>
              <w:t>(2)深化设计（施工图设计）包括：</w:t>
            </w:r>
          </w:p>
          <w:p>
            <w:pPr>
              <w:pStyle w:val="null3"/>
              <w:jc w:val="both"/>
            </w:pPr>
            <w:r>
              <w:rPr>
                <w:rFonts w:ascii="仿宋_GB2312" w:hAnsi="仿宋_GB2312" w:cs="仿宋_GB2312" w:eastAsia="仿宋_GB2312"/>
                <w:sz w:val="24"/>
              </w:rPr>
              <w:t>设计的深度应满足陈列展览和室内装饰装修内容要求并能按图进行施工，包括（但不限于以下内容）：</w:t>
            </w:r>
          </w:p>
          <w:p>
            <w:pPr>
              <w:pStyle w:val="null3"/>
              <w:jc w:val="both"/>
            </w:pPr>
            <w:r>
              <w:rPr>
                <w:rFonts w:ascii="仿宋_GB2312" w:hAnsi="仿宋_GB2312" w:cs="仿宋_GB2312" w:eastAsia="仿宋_GB2312"/>
                <w:sz w:val="24"/>
              </w:rPr>
              <w:t>①设计应包含展示项目所有专业施工设计图；</w:t>
            </w:r>
          </w:p>
          <w:p>
            <w:pPr>
              <w:pStyle w:val="null3"/>
              <w:jc w:val="both"/>
            </w:pPr>
            <w:r>
              <w:rPr>
                <w:rFonts w:ascii="仿宋_GB2312" w:hAnsi="仿宋_GB2312" w:cs="仿宋_GB2312" w:eastAsia="仿宋_GB2312"/>
                <w:sz w:val="24"/>
              </w:rPr>
              <w:t>②设计应包括展区及展示项目的平面、立面、剖面、大样、主要节点图纸、分解图、透视效果图、用料及规格、性能、技术标准、制作程序、详细的材料以及其它要求的各项技术参数；</w:t>
            </w:r>
          </w:p>
          <w:p>
            <w:pPr>
              <w:pStyle w:val="null3"/>
              <w:jc w:val="both"/>
            </w:pPr>
            <w:r>
              <w:rPr>
                <w:rFonts w:ascii="仿宋_GB2312" w:hAnsi="仿宋_GB2312" w:cs="仿宋_GB2312" w:eastAsia="仿宋_GB2312"/>
                <w:sz w:val="24"/>
              </w:rPr>
              <w:t>③设计应包含尺寸、形状、结构、材质、色彩、模型、技术、工艺、功能等；</w:t>
            </w:r>
          </w:p>
          <w:p>
            <w:pPr>
              <w:pStyle w:val="null3"/>
              <w:jc w:val="both"/>
            </w:pPr>
            <w:r>
              <w:rPr>
                <w:rFonts w:ascii="仿宋_GB2312" w:hAnsi="仿宋_GB2312" w:cs="仿宋_GB2312" w:eastAsia="仿宋_GB2312"/>
                <w:sz w:val="24"/>
              </w:rPr>
              <w:t>④设计必须满足防火规范、消防设施设计规范及有关规定；</w:t>
            </w:r>
          </w:p>
          <w:p>
            <w:pPr>
              <w:pStyle w:val="null3"/>
              <w:jc w:val="both"/>
            </w:pPr>
            <w:r>
              <w:rPr>
                <w:rFonts w:ascii="仿宋_GB2312" w:hAnsi="仿宋_GB2312" w:cs="仿宋_GB2312" w:eastAsia="仿宋_GB2312"/>
                <w:sz w:val="24"/>
              </w:rPr>
              <w:t>⑤展览总平面图，各部分平面图，各内容点、线、面布局平面图及观众流线图；</w:t>
            </w:r>
          </w:p>
          <w:p>
            <w:pPr>
              <w:pStyle w:val="null3"/>
              <w:jc w:val="both"/>
            </w:pPr>
            <w:r>
              <w:rPr>
                <w:rFonts w:ascii="仿宋_GB2312" w:hAnsi="仿宋_GB2312" w:cs="仿宋_GB2312" w:eastAsia="仿宋_GB2312"/>
                <w:sz w:val="24"/>
              </w:rPr>
              <w:t>⑥空间轴侧图，展厅全景透视图；</w:t>
            </w:r>
          </w:p>
          <w:p>
            <w:pPr>
              <w:pStyle w:val="null3"/>
              <w:jc w:val="both"/>
            </w:pPr>
            <w:r>
              <w:rPr>
                <w:rFonts w:ascii="仿宋_GB2312" w:hAnsi="仿宋_GB2312" w:cs="仿宋_GB2312" w:eastAsia="仿宋_GB2312"/>
                <w:sz w:val="24"/>
              </w:rPr>
              <w:t>⑦每个部分或各单元（一、二、三级标题）、重点、亮点和组合文物展示设计施工图；</w:t>
            </w:r>
          </w:p>
          <w:p>
            <w:pPr>
              <w:pStyle w:val="null3"/>
              <w:jc w:val="both"/>
            </w:pPr>
            <w:r>
              <w:rPr>
                <w:rFonts w:ascii="仿宋_GB2312" w:hAnsi="仿宋_GB2312" w:cs="仿宋_GB2312" w:eastAsia="仿宋_GB2312"/>
                <w:sz w:val="24"/>
              </w:rPr>
              <w:t>⑧各展厅立面图；</w:t>
            </w:r>
          </w:p>
          <w:p>
            <w:pPr>
              <w:pStyle w:val="null3"/>
              <w:jc w:val="both"/>
            </w:pPr>
            <w:r>
              <w:rPr>
                <w:rFonts w:ascii="仿宋_GB2312" w:hAnsi="仿宋_GB2312" w:cs="仿宋_GB2312" w:eastAsia="仿宋_GB2312"/>
                <w:sz w:val="24"/>
              </w:rPr>
              <w:t>⑨辅助展示类场景要有正立面图、平面图、侧剖图，提供人物模型数量、布局、尺寸、材质等，场景的进深、宽度、高度及面积，地面塑型、背景画及声、光、电多媒体设备的施工安装图纸及相关资料；</w:t>
            </w:r>
          </w:p>
          <w:p>
            <w:pPr>
              <w:pStyle w:val="null3"/>
              <w:jc w:val="both"/>
            </w:pPr>
            <w:r>
              <w:rPr>
                <w:rFonts w:ascii="仿宋_GB2312" w:hAnsi="仿宋_GB2312" w:cs="仿宋_GB2312" w:eastAsia="仿宋_GB2312"/>
                <w:sz w:val="24"/>
              </w:rPr>
              <w:t>⑩所有一、二级标题和一、二级（前言、单元说明）文字版面及展品标示牌，应采用双语种（汉、英）文字版面设计；</w:t>
            </w:r>
          </w:p>
          <w:p>
            <w:pPr>
              <w:pStyle w:val="null3"/>
              <w:jc w:val="both"/>
            </w:pPr>
            <w:r>
              <w:rPr>
                <w:rFonts w:ascii="仿宋_GB2312" w:hAnsi="仿宋_GB2312" w:cs="仿宋_GB2312" w:eastAsia="仿宋_GB2312"/>
                <w:sz w:val="24"/>
              </w:rPr>
              <w:t>⑪</w:t>
            </w:r>
            <w:r>
              <w:rPr>
                <w:rFonts w:ascii="仿宋_GB2312" w:hAnsi="仿宋_GB2312" w:cs="仿宋_GB2312" w:eastAsia="仿宋_GB2312"/>
                <w:sz w:val="24"/>
              </w:rPr>
              <w:t>多媒体项目效果及原理拓扑图；</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rPr>
              <w:t>3、设计文件的编制顺序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 封面：写明项目名称、编制单位、编制年月；</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 设计文件目录；</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 设计说明书；</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 设计图纸；</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 装饰装修材料表；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 工程投资概算书。</w:t>
            </w:r>
          </w:p>
          <w:p>
            <w:pPr>
              <w:pStyle w:val="null3"/>
              <w:jc w:val="both"/>
            </w:pPr>
            <w:r>
              <w:rPr>
                <w:rFonts w:ascii="仿宋_GB2312" w:hAnsi="仿宋_GB2312" w:cs="仿宋_GB2312" w:eastAsia="仿宋_GB2312"/>
                <w:sz w:val="24"/>
                <w:b/>
              </w:rPr>
              <w:t>（三）设计文本的数量</w:t>
            </w:r>
          </w:p>
          <w:p>
            <w:pPr>
              <w:pStyle w:val="null3"/>
              <w:jc w:val="both"/>
            </w:pPr>
            <w:r>
              <w:rPr>
                <w:rFonts w:ascii="仿宋_GB2312" w:hAnsi="仿宋_GB2312" w:cs="仿宋_GB2312" w:eastAsia="仿宋_GB2312"/>
                <w:sz w:val="24"/>
              </w:rPr>
              <w:t>1.深化设计方案及说明书纸质文本各四份；设计文件正式版本纸质蓝图各八份；</w:t>
            </w:r>
          </w:p>
          <w:p>
            <w:pPr>
              <w:pStyle w:val="null3"/>
              <w:jc w:val="both"/>
            </w:pPr>
            <w:r>
              <w:rPr>
                <w:rFonts w:ascii="仿宋_GB2312" w:hAnsi="仿宋_GB2312" w:cs="仿宋_GB2312" w:eastAsia="仿宋_GB2312"/>
                <w:sz w:val="24"/>
              </w:rPr>
              <w:t>2.电子文件： CAD电子版本设计文件、PDF格式电子文件U盘壹份，其内容应与供应商打印产生的纸质响应文件内容一致，如有不同，以纸质响应文件为准。</w:t>
            </w:r>
          </w:p>
          <w:p>
            <w:pPr>
              <w:pStyle w:val="null3"/>
              <w:jc w:val="both"/>
            </w:pPr>
            <w:r>
              <w:rPr>
                <w:rFonts w:ascii="仿宋_GB2312" w:hAnsi="仿宋_GB2312" w:cs="仿宋_GB2312" w:eastAsia="仿宋_GB2312"/>
                <w:sz w:val="24"/>
              </w:rPr>
              <w:t>3、预算书：提供A4规格纸质版本各专业四份及广联达软件电子版。</w:t>
            </w:r>
          </w:p>
          <w:p>
            <w:pPr>
              <w:pStyle w:val="null3"/>
              <w:jc w:val="both"/>
            </w:pPr>
            <w:r>
              <w:rPr>
                <w:rFonts w:ascii="仿宋_GB2312" w:hAnsi="仿宋_GB2312" w:cs="仿宋_GB2312" w:eastAsia="仿宋_GB2312"/>
                <w:sz w:val="24"/>
                <w:b/>
              </w:rPr>
              <w:t>（四）布展、装饰装修施工要求</w:t>
            </w:r>
          </w:p>
          <w:p>
            <w:pPr>
              <w:pStyle w:val="null3"/>
              <w:jc w:val="both"/>
            </w:pPr>
            <w:r>
              <w:rPr>
                <w:rFonts w:ascii="仿宋_GB2312" w:hAnsi="仿宋_GB2312" w:cs="仿宋_GB2312" w:eastAsia="仿宋_GB2312"/>
                <w:sz w:val="24"/>
              </w:rPr>
              <w:t>1．中标人施工完成的布展效果必须达到招标文件要求，且让招标人认可，否则，须在招标人允许的时间内进行修改、完善，所涉及的费用由中标人承担。</w:t>
            </w:r>
          </w:p>
          <w:p>
            <w:pPr>
              <w:pStyle w:val="null3"/>
              <w:jc w:val="both"/>
            </w:pPr>
            <w:r>
              <w:rPr>
                <w:rFonts w:ascii="仿宋_GB2312" w:hAnsi="仿宋_GB2312" w:cs="仿宋_GB2312" w:eastAsia="仿宋_GB2312"/>
                <w:sz w:val="24"/>
              </w:rPr>
              <w:t>2．科学合理安排布展、装饰装修相关施工程序，隐蔽工程经相关的委托监理单位验收合格后方可进入下道工序施工。</w:t>
            </w:r>
          </w:p>
          <w:p>
            <w:pPr>
              <w:pStyle w:val="null3"/>
              <w:jc w:val="both"/>
            </w:pPr>
            <w:r>
              <w:rPr>
                <w:rFonts w:ascii="仿宋_GB2312" w:hAnsi="仿宋_GB2312" w:cs="仿宋_GB2312" w:eastAsia="仿宋_GB2312"/>
                <w:sz w:val="24"/>
              </w:rPr>
              <w:t>3．布展、装饰装修施工过程是陈列展览内容、形式设计的不断充实完善和具体体现，中标人须在布展、装饰装修施工过程中会同招标人继续对原设计方案无条件进行调整、细化、充实和完善，直至完工验收。</w:t>
            </w:r>
          </w:p>
          <w:p>
            <w:pPr>
              <w:pStyle w:val="null3"/>
              <w:jc w:val="both"/>
            </w:pPr>
            <w:r>
              <w:rPr>
                <w:rFonts w:ascii="仿宋_GB2312" w:hAnsi="仿宋_GB2312" w:cs="仿宋_GB2312" w:eastAsia="仿宋_GB2312"/>
                <w:sz w:val="24"/>
              </w:rPr>
              <w:t>4．所有展台、支架（托）等辅助展具的制作，须接受招标人或监理的监督，若需购置成品，须经招标人认可，务必做到环保、防尘防虫、阻燃，牢固安全，工艺精细、讲究、美观。</w:t>
            </w:r>
          </w:p>
          <w:p>
            <w:pPr>
              <w:pStyle w:val="null3"/>
              <w:jc w:val="both"/>
            </w:pPr>
            <w:r>
              <w:rPr>
                <w:rFonts w:ascii="仿宋_GB2312" w:hAnsi="仿宋_GB2312" w:cs="仿宋_GB2312" w:eastAsia="仿宋_GB2312"/>
                <w:sz w:val="24"/>
              </w:rPr>
              <w:t>5．中标人对各种材质的文字（含一、二级看版及展品说明、展品标牌）、插图、表格等辅助版面，从内容句式、句读、生冷字注音、公元纪年加注、双语种（英、汉文）翻译的精准度到形式版面的编排，必须要严谨、精准、无误，制作工艺精良，平整干净、无气泡、无皱痕，安装与摆放要稳固、合理。否则， 造成的报废、返工所涉及的一切费用由中标人承担。</w:t>
            </w:r>
          </w:p>
          <w:p>
            <w:pPr>
              <w:pStyle w:val="null3"/>
              <w:jc w:val="both"/>
            </w:pPr>
            <w:r>
              <w:rPr>
                <w:rFonts w:ascii="仿宋_GB2312" w:hAnsi="仿宋_GB2312" w:cs="仿宋_GB2312" w:eastAsia="仿宋_GB2312"/>
                <w:sz w:val="24"/>
              </w:rPr>
              <w:t>6．文物展品上线，中标人须协助做好文物展品上线工作。</w:t>
            </w:r>
          </w:p>
          <w:p>
            <w:pPr>
              <w:pStyle w:val="null3"/>
              <w:jc w:val="both"/>
            </w:pPr>
            <w:r>
              <w:rPr>
                <w:rFonts w:ascii="仿宋_GB2312" w:hAnsi="仿宋_GB2312" w:cs="仿宋_GB2312" w:eastAsia="仿宋_GB2312"/>
                <w:sz w:val="24"/>
              </w:rPr>
              <w:t>7．模型、沙盘、实景复原等辅助展品的制作安装要精细、直观、逼真、动静结合，声、光、电相融，具有使观众身临其境的感觉。</w:t>
            </w:r>
          </w:p>
          <w:p>
            <w:pPr>
              <w:pStyle w:val="null3"/>
              <w:jc w:val="both"/>
            </w:pPr>
            <w:r>
              <w:rPr>
                <w:rFonts w:ascii="仿宋_GB2312" w:hAnsi="仿宋_GB2312" w:cs="仿宋_GB2312" w:eastAsia="仿宋_GB2312"/>
                <w:sz w:val="24"/>
              </w:rPr>
              <w:t>8．中标单位应配合做好后期工作强弱电（建筑智能化）等联调联试等相关工作，同时做好内、外装成品保护。</w:t>
            </w:r>
          </w:p>
          <w:p>
            <w:pPr>
              <w:pStyle w:val="null3"/>
              <w:jc w:val="both"/>
            </w:pPr>
            <w:r>
              <w:rPr>
                <w:rFonts w:ascii="仿宋_GB2312" w:hAnsi="仿宋_GB2312" w:cs="仿宋_GB2312" w:eastAsia="仿宋_GB2312"/>
                <w:sz w:val="24"/>
              </w:rPr>
              <w:t>9．施工过程要求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1）施工前措施</w:t>
            </w:r>
          </w:p>
          <w:p>
            <w:pPr>
              <w:pStyle w:val="null3"/>
              <w:jc w:val="both"/>
            </w:pPr>
            <w:r>
              <w:rPr>
                <w:rFonts w:ascii="仿宋_GB2312" w:hAnsi="仿宋_GB2312" w:cs="仿宋_GB2312" w:eastAsia="仿宋_GB2312"/>
                <w:sz w:val="24"/>
              </w:rPr>
              <w:t>①加强保密教育</w:t>
            </w:r>
          </w:p>
          <w:p>
            <w:pPr>
              <w:pStyle w:val="null3"/>
              <w:jc w:val="both"/>
            </w:pPr>
            <w:r>
              <w:rPr>
                <w:rFonts w:ascii="仿宋_GB2312" w:hAnsi="仿宋_GB2312" w:cs="仿宋_GB2312" w:eastAsia="仿宋_GB2312"/>
                <w:sz w:val="24"/>
              </w:rPr>
              <w:t>加强全体施工人员的保密培训管理，做好施工保密工作。所有的工程资料和施工图纸要有专人进行保管，避免施工图纸外露。</w:t>
            </w:r>
          </w:p>
          <w:p>
            <w:pPr>
              <w:pStyle w:val="null3"/>
              <w:jc w:val="both"/>
            </w:pPr>
            <w:r>
              <w:rPr>
                <w:rFonts w:ascii="仿宋_GB2312" w:hAnsi="仿宋_GB2312" w:cs="仿宋_GB2312" w:eastAsia="仿宋_GB2312"/>
                <w:sz w:val="24"/>
              </w:rPr>
              <w:t>②各部门加强配合</w:t>
            </w:r>
          </w:p>
          <w:p>
            <w:pPr>
              <w:pStyle w:val="null3"/>
              <w:jc w:val="both"/>
            </w:pPr>
            <w:r>
              <w:rPr>
                <w:rFonts w:ascii="仿宋_GB2312" w:hAnsi="仿宋_GB2312" w:cs="仿宋_GB2312" w:eastAsia="仿宋_GB2312"/>
                <w:sz w:val="24"/>
              </w:rPr>
              <w:t>施工单位及时提供日报、月报和季报。按工程施工计划，及时沟通施工进度，以确保工程顺利按时完工。</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2）施工过程中措施</w:t>
            </w:r>
          </w:p>
          <w:p>
            <w:pPr>
              <w:pStyle w:val="null3"/>
              <w:jc w:val="both"/>
            </w:pPr>
            <w:r>
              <w:rPr>
                <w:rFonts w:ascii="仿宋_GB2312" w:hAnsi="仿宋_GB2312" w:cs="仿宋_GB2312" w:eastAsia="仿宋_GB2312"/>
                <w:sz w:val="24"/>
              </w:rPr>
              <w:t>①材料、工具搬运</w:t>
            </w:r>
          </w:p>
          <w:p>
            <w:pPr>
              <w:pStyle w:val="null3"/>
              <w:jc w:val="both"/>
            </w:pPr>
            <w:r>
              <w:rPr>
                <w:rFonts w:ascii="仿宋_GB2312" w:hAnsi="仿宋_GB2312" w:cs="仿宋_GB2312" w:eastAsia="仿宋_GB2312"/>
                <w:sz w:val="24"/>
              </w:rPr>
              <w:t>在工程施工中，搬运梯子、穿线管和线槽等较长材料工具时，应采取</w:t>
            </w:r>
            <w:r>
              <w:rPr>
                <w:rFonts w:ascii="仿宋_GB2312" w:hAnsi="仿宋_GB2312" w:cs="仿宋_GB2312" w:eastAsia="仿宋_GB2312"/>
                <w:sz w:val="24"/>
              </w:rPr>
              <w:t>“两人抬”的办法，确保材料、工具不接触文物本体。</w:t>
            </w:r>
          </w:p>
          <w:p>
            <w:pPr>
              <w:pStyle w:val="null3"/>
              <w:jc w:val="both"/>
            </w:pPr>
            <w:r>
              <w:rPr>
                <w:rFonts w:ascii="仿宋_GB2312" w:hAnsi="仿宋_GB2312" w:cs="仿宋_GB2312" w:eastAsia="仿宋_GB2312"/>
                <w:sz w:val="24"/>
              </w:rPr>
              <w:t>②临时用电</w:t>
            </w:r>
          </w:p>
          <w:p>
            <w:pPr>
              <w:pStyle w:val="null3"/>
              <w:jc w:val="both"/>
            </w:pPr>
            <w:r>
              <w:rPr>
                <w:rFonts w:ascii="仿宋_GB2312" w:hAnsi="仿宋_GB2312" w:cs="仿宋_GB2312" w:eastAsia="仿宋_GB2312"/>
                <w:sz w:val="24"/>
              </w:rPr>
              <w:t>应选择安全场所设置专门的临时施工用电配电箱，采用专用的配电盘给相关施工机具供电，确保配电容量与使用机具的匹配。避免因电压负荷过大导致起火等事故发生，同时要注意，施工完成后及时关闭电源，清理现场机电工具。</w:t>
            </w:r>
          </w:p>
          <w:p>
            <w:pPr>
              <w:pStyle w:val="null3"/>
              <w:jc w:val="both"/>
            </w:pPr>
            <w:r>
              <w:rPr>
                <w:rFonts w:ascii="仿宋_GB2312" w:hAnsi="仿宋_GB2312" w:cs="仿宋_GB2312" w:eastAsia="仿宋_GB2312"/>
                <w:sz w:val="24"/>
              </w:rPr>
              <w:t>③管线敷设</w:t>
            </w:r>
          </w:p>
          <w:p>
            <w:pPr>
              <w:pStyle w:val="null3"/>
              <w:jc w:val="both"/>
            </w:pPr>
            <w:r>
              <w:rPr>
                <w:rFonts w:ascii="仿宋_GB2312" w:hAnsi="仿宋_GB2312" w:cs="仿宋_GB2312" w:eastAsia="仿宋_GB2312"/>
                <w:sz w:val="24"/>
              </w:rPr>
              <w:t>进行工程线缆敷设时，应力求远离文物本体；不在本体上敷设线缆，应力求减少对文物建筑本体的干预，并注意线管的隐蔽性，线管施工后表层需做防火，防锈处理。</w:t>
            </w:r>
          </w:p>
          <w:p>
            <w:pPr>
              <w:pStyle w:val="null3"/>
              <w:jc w:val="both"/>
            </w:pPr>
            <w:r>
              <w:rPr>
                <w:rFonts w:ascii="仿宋_GB2312" w:hAnsi="仿宋_GB2312" w:cs="仿宋_GB2312" w:eastAsia="仿宋_GB2312"/>
                <w:sz w:val="24"/>
              </w:rPr>
              <w:t>④设备安装</w:t>
            </w:r>
          </w:p>
          <w:p>
            <w:pPr>
              <w:pStyle w:val="null3"/>
              <w:jc w:val="both"/>
            </w:pPr>
            <w:r>
              <w:rPr>
                <w:rFonts w:ascii="仿宋_GB2312" w:hAnsi="仿宋_GB2312" w:cs="仿宋_GB2312" w:eastAsia="仿宋_GB2312"/>
                <w:sz w:val="24"/>
              </w:rPr>
              <w:t>进行工程设备安装时，应优先考虑采用特制的支架、立杆等进行安装，或安装在吊顶等非文物实体上，力求减少对文物建筑本体的干预。在高空作业时，确保施工区域底部无易碎文物。防止施工时手滑工具掉落损伤文物。工具的传递不要随意地抛扔，需两人亲手传递。</w:t>
            </w:r>
          </w:p>
          <w:p>
            <w:pPr>
              <w:pStyle w:val="null3"/>
              <w:jc w:val="both"/>
            </w:pPr>
            <w:r>
              <w:rPr>
                <w:rFonts w:ascii="仿宋_GB2312" w:hAnsi="仿宋_GB2312" w:cs="仿宋_GB2312" w:eastAsia="仿宋_GB2312"/>
                <w:sz w:val="24"/>
              </w:rPr>
              <w:t>⑤一次性调试到位</w:t>
            </w:r>
          </w:p>
          <w:p>
            <w:pPr>
              <w:pStyle w:val="null3"/>
              <w:jc w:val="both"/>
            </w:pPr>
            <w:r>
              <w:rPr>
                <w:rFonts w:ascii="仿宋_GB2312" w:hAnsi="仿宋_GB2312" w:cs="仿宋_GB2312" w:eastAsia="仿宋_GB2312"/>
                <w:sz w:val="24"/>
              </w:rPr>
              <w:t>进行系统设备调试时，特别是调试陈列柜内等区域的设备调试中，应事先做好调试预案，确保调试一次到位，避免反复调试。</w:t>
            </w:r>
          </w:p>
          <w:p>
            <w:pPr>
              <w:pStyle w:val="null3"/>
              <w:jc w:val="both"/>
            </w:pPr>
            <w:r>
              <w:rPr>
                <w:rFonts w:ascii="仿宋_GB2312" w:hAnsi="仿宋_GB2312" w:cs="仿宋_GB2312" w:eastAsia="仿宋_GB2312"/>
                <w:sz w:val="24"/>
              </w:rPr>
              <w:t>⑥环境协调性检查</w:t>
            </w:r>
          </w:p>
          <w:p>
            <w:pPr>
              <w:pStyle w:val="null3"/>
              <w:jc w:val="both"/>
            </w:pPr>
            <w:r>
              <w:rPr>
                <w:rFonts w:ascii="仿宋_GB2312" w:hAnsi="仿宋_GB2312" w:cs="仿宋_GB2312" w:eastAsia="仿宋_GB2312"/>
                <w:sz w:val="24"/>
              </w:rPr>
              <w:t>系统安装调试完成后，应进行最终的环境协调性检查，对于安装环境不协调的管线等进行处理，涂刷与建筑底色相同颜色的油漆，确保与建筑本体的整体和局部协调性。施工完成后，及时清理现场施工垃圾，做到人走场地整洁干净。</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3）施工后措施</w:t>
            </w:r>
          </w:p>
          <w:p>
            <w:pPr>
              <w:pStyle w:val="null3"/>
              <w:jc w:val="both"/>
            </w:pPr>
            <w:r>
              <w:rPr>
                <w:rFonts w:ascii="仿宋_GB2312" w:hAnsi="仿宋_GB2312" w:cs="仿宋_GB2312" w:eastAsia="仿宋_GB2312"/>
                <w:sz w:val="24"/>
              </w:rPr>
              <w:t>①资料保护</w:t>
            </w:r>
          </w:p>
          <w:p>
            <w:pPr>
              <w:pStyle w:val="null3"/>
              <w:jc w:val="both"/>
            </w:pPr>
            <w:r>
              <w:rPr>
                <w:rFonts w:ascii="仿宋_GB2312" w:hAnsi="仿宋_GB2312" w:cs="仿宋_GB2312" w:eastAsia="仿宋_GB2312"/>
                <w:sz w:val="24"/>
              </w:rPr>
              <w:t>施工过程中废弃的图纸和文件资料，要安排专人进行销毁，不要随意变卖或丢弃。完善后的整套施工资料，资质资料要移交给各方的专职对接人员，不要借他人手传递资料。</w:t>
            </w:r>
          </w:p>
          <w:p>
            <w:pPr>
              <w:pStyle w:val="null3"/>
              <w:jc w:val="both"/>
            </w:pPr>
            <w:r>
              <w:rPr>
                <w:rFonts w:ascii="仿宋_GB2312" w:hAnsi="仿宋_GB2312" w:cs="仿宋_GB2312" w:eastAsia="仿宋_GB2312"/>
                <w:sz w:val="24"/>
              </w:rPr>
              <w:t>②及时删除临时人员进出权限</w:t>
            </w:r>
          </w:p>
          <w:p>
            <w:pPr>
              <w:pStyle w:val="null3"/>
              <w:jc w:val="both"/>
            </w:pPr>
            <w:r>
              <w:rPr>
                <w:rFonts w:ascii="仿宋_GB2312" w:hAnsi="仿宋_GB2312" w:cs="仿宋_GB2312" w:eastAsia="仿宋_GB2312"/>
                <w:sz w:val="24"/>
              </w:rPr>
              <w:t>施工人员的出入卡或者密码，建设单位管理人员要及时与施工单位进行沟通，对于中途调离的施工人员和临时施工人员，要及时取消他们的进出权限，发放的出入卡要及时回收。</w:t>
            </w:r>
          </w:p>
          <w:p>
            <w:pPr>
              <w:pStyle w:val="null3"/>
              <w:jc w:val="both"/>
            </w:pPr>
            <w:r>
              <w:rPr>
                <w:rFonts w:ascii="仿宋_GB2312" w:hAnsi="仿宋_GB2312" w:cs="仿宋_GB2312" w:eastAsia="仿宋_GB2312"/>
                <w:sz w:val="24"/>
              </w:rPr>
              <w:t>③成品保护</w:t>
            </w:r>
          </w:p>
          <w:p>
            <w:pPr>
              <w:pStyle w:val="null3"/>
              <w:jc w:val="both"/>
            </w:pPr>
            <w:r>
              <w:rPr>
                <w:rFonts w:ascii="仿宋_GB2312" w:hAnsi="仿宋_GB2312" w:cs="仿宋_GB2312" w:eastAsia="仿宋_GB2312"/>
                <w:sz w:val="24"/>
              </w:rPr>
              <w:t>施工线路和安防设备安装位置等资料要提醒约束项目参与人员，不得随意告知他人，避免有人破坏施工线路和设备。</w:t>
            </w:r>
          </w:p>
          <w:p>
            <w:pPr>
              <w:pStyle w:val="null3"/>
              <w:jc w:val="both"/>
            </w:pPr>
            <w:r>
              <w:rPr>
                <w:rFonts w:ascii="仿宋_GB2312" w:hAnsi="仿宋_GB2312" w:cs="仿宋_GB2312" w:eastAsia="仿宋_GB2312"/>
                <w:sz w:val="24"/>
              </w:rPr>
              <w:t>10、材料、设备供应</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本次招标范围内的材料、设备均由中标人根据深化设计图纸和国家有关规定的具体要求进行采购、运输、检验、保管，须有产品合格证和质量保证书，符合国家消防安全、节能、环保要求和国家规定的技术标准，且须经甲方认可方可使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2）本项目使用的主要材料，中标人应在采购前向监理、甲方送样，经认可封存，所有进场材料质量应不低于送样产品，否则不得使用。</w:t>
            </w:r>
          </w:p>
          <w:p>
            <w:pPr>
              <w:pStyle w:val="null3"/>
            </w:pPr>
            <w:r>
              <w:rPr>
                <w:rFonts w:ascii="仿宋_GB2312" w:hAnsi="仿宋_GB2312" w:cs="仿宋_GB2312" w:eastAsia="仿宋_GB2312"/>
                <w:sz w:val="24"/>
              </w:rPr>
              <w:t>（</w:t>
            </w:r>
            <w:r>
              <w:rPr>
                <w:rFonts w:ascii="仿宋_GB2312" w:hAnsi="仿宋_GB2312" w:cs="仿宋_GB2312" w:eastAsia="仿宋_GB2312"/>
                <w:sz w:val="24"/>
              </w:rPr>
              <w:t>3）因中标人擅自采购的主要材料、设备质量达不到设计要求（或效果要求）和预期质量目标时，须无条件更换，费用不增加。</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工期</w:t>
            </w:r>
          </w:p>
          <w:p>
            <w:pPr>
              <w:pStyle w:val="null3"/>
            </w:pPr>
            <w:r>
              <w:rPr>
                <w:rFonts w:ascii="仿宋_GB2312" w:hAnsi="仿宋_GB2312" w:cs="仿宋_GB2312" w:eastAsia="仿宋_GB2312"/>
                <w:sz w:val="24"/>
              </w:rPr>
              <w:t>120天</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4"/>
                <w:b/>
              </w:rPr>
              <w:t>工程地点</w:t>
            </w:r>
          </w:p>
          <w:p>
            <w:pPr>
              <w:pStyle w:val="null3"/>
            </w:pPr>
            <w:r>
              <w:rPr>
                <w:rFonts w:ascii="仿宋_GB2312" w:hAnsi="仿宋_GB2312" w:cs="仿宋_GB2312" w:eastAsia="仿宋_GB2312"/>
                <w:sz w:val="24"/>
              </w:rPr>
              <w:t>泾渭基地</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4"/>
                <w:b/>
              </w:rPr>
              <w:t>工程质量</w:t>
            </w:r>
          </w:p>
          <w:p>
            <w:pPr>
              <w:pStyle w:val="null3"/>
            </w:pPr>
            <w:r>
              <w:rPr>
                <w:rFonts w:ascii="仿宋_GB2312" w:hAnsi="仿宋_GB2312" w:cs="仿宋_GB2312" w:eastAsia="仿宋_GB2312"/>
                <w:sz w:val="24"/>
              </w:rPr>
              <w:t>合格</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4"/>
                <w:b/>
              </w:rPr>
              <w:t>质量保修范围和保修期</w:t>
            </w:r>
          </w:p>
          <w:p>
            <w:pPr>
              <w:pStyle w:val="null3"/>
            </w:pPr>
            <w:r>
              <w:rPr>
                <w:rFonts w:ascii="仿宋_GB2312" w:hAnsi="仿宋_GB2312" w:cs="仿宋_GB2312" w:eastAsia="仿宋_GB2312"/>
                <w:sz w:val="24"/>
              </w:rPr>
              <w:t>展厅装饰施工，保修期</w:t>
            </w:r>
            <w:r>
              <w:rPr>
                <w:rFonts w:ascii="仿宋_GB2312" w:hAnsi="仿宋_GB2312" w:cs="仿宋_GB2312" w:eastAsia="仿宋_GB2312"/>
                <w:sz w:val="24"/>
              </w:rPr>
              <w:t>2年</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4"/>
                <w:b/>
              </w:rPr>
              <w:t>报价要求</w:t>
            </w:r>
          </w:p>
          <w:p>
            <w:pPr>
              <w:pStyle w:val="null3"/>
            </w:pPr>
            <w:r>
              <w:rPr>
                <w:rFonts w:ascii="仿宋_GB2312" w:hAnsi="仿宋_GB2312" w:cs="仿宋_GB2312" w:eastAsia="仿宋_GB2312"/>
                <w:sz w:val="24"/>
              </w:rPr>
              <w:t>本项目为固定总价合同，</w:t>
            </w:r>
            <w:r>
              <w:rPr>
                <w:rFonts w:ascii="仿宋_GB2312" w:hAnsi="仿宋_GB2312" w:cs="仿宋_GB2312" w:eastAsia="仿宋_GB2312"/>
                <w:sz w:val="24"/>
              </w:rPr>
              <w:t>各家单位根据自己的方案自己编制预算清单</w:t>
            </w:r>
            <w:r>
              <w:rPr>
                <w:rFonts w:ascii="仿宋_GB2312" w:hAnsi="仿宋_GB2312" w:cs="仿宋_GB2312" w:eastAsia="仿宋_GB2312"/>
                <w:sz w:val="24"/>
              </w:rPr>
              <w:t>并结合市场情况自主报价。</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达到国家现行技术规范要求合格标准及满足采购人要求。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1、付款方式： ①签订合同后，支付预付款合同总金额的40%。 ②设计方案确认签字后，施工图完成支付合同总金额的20%。 ③施工布展完毕验收合格后，一次性支付所有工程款。 2、违约责任与解决争议的方法： （1）因乙方原因而延迟工期，每延期一天按贰仟元人民币作为违约金在应付工程款中予以扣除，延误工期赔偿限额为不超过工程总价的1%。 （2）本工程质量若达不到合格标准，甲方有权按合同价款1%作为违约金在应付工程款中予于扣除。 （3）乙方若违反与甲方签定的环境卫生协议，施工过程中的垃圾未及时清除，甲方有权酌情罚款（每天不少于100元，不高于200元）。 （4）若因甲方进度款到位，而乙方又未按时发放农民工工资，形成纠纷，甲方有权从工程款扣除，代为支付，同时有权酌情罚款。 （5）若甲方未按时足额支付相应款项，每延期一天应向乙方支付应付而未付款项的1%滞纳金。 3、其他要求： （1）中标人须如期完工，不得拖延，除因不可抗力或招标人原因造成工期推迟，否则招标人对中标人每天将处以相应的违约金。供应商必须在响应文件中对整个进度的合理安排作出承诺，并制定设计、施工网络进度计划。 （2）本项目质量目标为一次性通过验收合格，供应商应详细编制施工方案，详细叙述关键部位的质量保证措施，并在响应文件中对质量目标进行承诺。 （3）中标人须无条件接受质量监督管理部门和监理单位的质量检查和管理，共同把好质量关。 （4）中标人施工完成的布展必须达到陈列深化设计方案目标要求。 （5）隐蔽工程经招标人验收合格后方可进入下道工序施工（制作）。 （6）未尽的技术条件及要求均按国家标准和行业标准执行或由双方协商确定。</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5、承诺书.docx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须同时具备以下资质： 设计资质：供应商须同时具备①中国博物馆协会博物馆陈列展览设计丙级（含丙级）及以上资质；②工程设计综合资质或建筑装饰工程设计专项乙级(含乙级)以上资质；供应商需在项目电子化交易系统中按要求上传相应证明文件并进行电子签章。 施工资质：供应商须同时具备①中国博物馆协会博物馆陈列展览施工三级（含三级）以上资质；②建设行政主管部门颁发的建筑装饰装修工程专业承包二级（含二级）以上资质和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供应商拟派工程总承包项目负责人资格要求</w:t>
            </w:r>
          </w:p>
        </w:tc>
        <w:tc>
          <w:tcPr>
            <w:tcW w:type="dxa" w:w="3322"/>
          </w:tcPr>
          <w:p>
            <w:pPr>
              <w:pStyle w:val="null3"/>
            </w:pPr>
            <w:r>
              <w:rPr>
                <w:rFonts w:ascii="仿宋_GB2312" w:hAnsi="仿宋_GB2312" w:cs="仿宋_GB2312" w:eastAsia="仿宋_GB2312"/>
              </w:rPr>
              <w:t>须具备建筑工程专业二级（含二级）以上注册建造师执业资格及有效的安全生产考核合格证（建安B证），在本单位注册（提供证书或证件），未担任其它在施建设工程的工程总承包项目负责人、施工负责人（无在建提供承诺）；拟派工程总承包项目负责人与设计负责人或施工负责人可为同一人，但须同时满足其资格要求。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2、供应商应提交的相关资格证明材料.docx 6、总承包项目负责人无在建承诺书.docx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供应商拟派设计项目负责人资格要求</w:t>
            </w:r>
          </w:p>
        </w:tc>
        <w:tc>
          <w:tcPr>
            <w:tcW w:type="dxa" w:w="3322"/>
          </w:tcPr>
          <w:p>
            <w:pPr>
              <w:pStyle w:val="null3"/>
            </w:pPr>
            <w:r>
              <w:rPr>
                <w:rFonts w:ascii="仿宋_GB2312" w:hAnsi="仿宋_GB2312" w:cs="仿宋_GB2312" w:eastAsia="仿宋_GB2312"/>
              </w:rPr>
              <w:t>须具备二级（含二级）以上注册建筑师执业资格或设计相关专业中级（含中级）以上技术职称，若为注册建筑师须在本单位注册（提供证书或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供应商拟派施工项目负责人资格要求</w:t>
            </w:r>
          </w:p>
        </w:tc>
        <w:tc>
          <w:tcPr>
            <w:tcW w:type="dxa" w:w="3322"/>
          </w:tcPr>
          <w:p>
            <w:pPr>
              <w:pStyle w:val="null3"/>
            </w:pPr>
            <w:r>
              <w:rPr>
                <w:rFonts w:ascii="仿宋_GB2312" w:hAnsi="仿宋_GB2312" w:cs="仿宋_GB2312" w:eastAsia="仿宋_GB2312"/>
              </w:rPr>
              <w:t>须具备建筑工程专业二级（含二级）以上注册建造师执业资格及有效的安全生产考核合格证（建安B证），在本单位注册（提供证书或证件），未担任其它在施建设工程的工程总承包项目经理、施工负责人（提供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2、供应商应提交的相关资格证明材料.docx 7、施工项目负责人无在建承诺书.docx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完整的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定代表人身份证及法定代表人身份证明，法定代表人授权代表参加磋商的，须出具法定代表人授权书及授权代表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4、法定代表人授权委托书.docx 3、法定代表人身份证明书.docx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供应商参加政府采购活动前3年内在经营活动中没有重大违法记录；供应商需在项目电子化交易系统中按要求填写《响应函》完成承诺并进行电子签章。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供应商未被列入“信用中国网站（www.creditchina.gov.cn）” 严重失信主体名单查询或重大税收违法失信主体名单；未被列入“国家执行信息公开网（https://zxgk.court.gov.cn/shixin/）” 失信被执行人；不处于“中国政府采购网（www.ccgp.gov.cn）” 政府采购严重违法失信行为信息记录中的禁止参</w:t>
            </w:r>
          </w:p>
        </w:tc>
        <w:tc>
          <w:tcPr>
            <w:tcW w:type="dxa" w:w="1661"/>
          </w:tcPr>
          <w:p>
            <w:pPr>
              <w:pStyle w:val="null3"/>
            </w:pPr>
            <w:r>
              <w:rPr>
                <w:rFonts w:ascii="仿宋_GB2312" w:hAnsi="仿宋_GB2312" w:cs="仿宋_GB2312" w:eastAsia="仿宋_GB2312"/>
              </w:rPr>
              <w:t>5、承诺书.docx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其他承诺响应</w:t>
            </w:r>
          </w:p>
        </w:tc>
        <w:tc>
          <w:tcPr>
            <w:tcW w:type="dxa" w:w="3322"/>
          </w:tcPr>
          <w:p>
            <w:pPr>
              <w:pStyle w:val="null3"/>
            </w:pPr>
            <w:r>
              <w:rPr>
                <w:rFonts w:ascii="仿宋_GB2312" w:hAnsi="仿宋_GB2312" w:cs="仿宋_GB2312" w:eastAsia="仿宋_GB2312"/>
              </w:rPr>
              <w:t>具有履行合同所必需的设备和专业技术能力；未为本项目提供整体设计、规范编制或者项目管理、监理、检测等服务；供应商需在项目电子化交易系统中按要求填写《响应函》完成承诺并进行电子签章。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接受联合体投标，以联合体方式参与投标的应提供联合体协议书，明确联合体牵头人，组成联合体成员不得超过2家。具体分工以联合体协议约定为准，资质等级按联合协议中的分工对应的单位资质等级进行确定。联合体投标的由联合体牵头单位负责投标全过程，包括但不限于领取招标文件、响应文件编制与递交、委托人授权、接收答疑、回复澄清、主张或放弃权利、签字盖章和合同谈判活动，代表联合体提交和接收相关的资料、信息及指示，处理与之有关的一切事务，并负责合同实施阶段的主办、组织和协调工作等投标与中标后事宜相关的全部事宜。联合体各方不得再以自己的名义单独或参加其他联合体在同一项目中投标，否则其投标和与此相关的联合体投标将被拒绝；供应商需在项目电子化交易系统中按要求填写《联合体投标协议书》并进行电子签章。</w:t>
            </w:r>
          </w:p>
        </w:tc>
        <w:tc>
          <w:tcPr>
            <w:tcW w:type="dxa" w:w="1661"/>
          </w:tcPr>
          <w:p>
            <w:pPr>
              <w:pStyle w:val="null3"/>
            </w:pPr>
            <w:r>
              <w:rPr>
                <w:rFonts w:ascii="仿宋_GB2312" w:hAnsi="仿宋_GB2312" w:cs="仿宋_GB2312" w:eastAsia="仿宋_GB2312"/>
              </w:rPr>
              <w:t>20、联合体协议书.docx</w:t>
            </w:r>
          </w:p>
        </w:tc>
      </w:tr>
      <w:tr>
        <w:tc>
          <w:tcPr>
            <w:tcW w:type="dxa" w:w="831"/>
          </w:tcPr>
          <w:p>
            <w:pPr>
              <w:pStyle w:val="null3"/>
            </w:pPr>
            <w:r>
              <w:rPr>
                <w:rFonts w:ascii="仿宋_GB2312" w:hAnsi="仿宋_GB2312" w:cs="仿宋_GB2312" w:eastAsia="仿宋_GB2312"/>
              </w:rPr>
              <w:t>15</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为专门面向中小企业的采购，供应商应为中型企业、小型企业、微型企业或监狱企业或残疾人福利性单位，需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w:t>
            </w:r>
          </w:p>
        </w:tc>
        <w:tc>
          <w:tcPr>
            <w:tcW w:type="dxa" w:w="1661"/>
          </w:tcPr>
          <w:p>
            <w:pPr>
              <w:pStyle w:val="null3"/>
            </w:pPr>
            <w:r>
              <w:rPr>
                <w:rFonts w:ascii="仿宋_GB2312" w:hAnsi="仿宋_GB2312" w:cs="仿宋_GB2312" w:eastAsia="仿宋_GB2312"/>
              </w:rPr>
              <w:t>1、响应报价表.docx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响应文件的签署、加盖印章要求是否合格、有效</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13、安全管理体系与措施.docx 6、总承包项目负责人无在建承诺书.docx 11、施工实施方案及技术措施.docx 3、法定代表人身份证明书.docx 19、类似项目业绩一览表.docx 20、联合体协议书.docx 标的清单 12、质量管理体系与措施.docx 15、附表2：拟配备的试验和检测仪器设备表.docx 监狱企业的证明文件 7、施工项目负责人无在建承诺书.docx 17、附表4：计划开、竣工日期和施工进度网络图.docx 18、附表5：项目管理机构.docx 1、响应报价表.docx 2、供应商应提交的相关资格证明材料.docx 14、附表1：拟投入的主要施工机械设备表.docx 中小企业声明函 技术服务合同条款及其他商务要求应答表 响应文件封面 4、法定代表人授权委托书.docx 残疾人福利性单位声明函 8、陕西省政府采购供应商拒绝政府采购领域商业贿赂承诺书.docx 报价函 响应函 5、承诺书.docx 10、实施计划方案分析.docx 16、附表3：劳动力计划表.docx 9、设计方案.docx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报价唯一，且未超过预算金额或最高限价；</w:t>
            </w:r>
          </w:p>
        </w:tc>
        <w:tc>
          <w:tcPr>
            <w:tcW w:type="dxa" w:w="1661"/>
          </w:tcPr>
          <w:p>
            <w:pPr>
              <w:pStyle w:val="null3"/>
            </w:pPr>
            <w:r>
              <w:rPr>
                <w:rFonts w:ascii="仿宋_GB2312" w:hAnsi="仿宋_GB2312" w:cs="仿宋_GB2312" w:eastAsia="仿宋_GB2312"/>
              </w:rPr>
              <w:t>1、响应报价表.docx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工期、工程地点、工程质量</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法律、法规和磋商文件规定的其他无效情形。</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一、评审内容 针对本项目采购需求提供陈列展览设计方案，内容包含： 1．供应商结合形式概念设计、陈列内容大纲进行进一步的修订和完善，形成规范合理的形式设计方案。 2．在陈列深化设计上，要将陈列效果、环境氛围与博物馆建筑风格、周边环境相融合，并充分利用展厅空间，保持展览的连贯性和统一性。既起到烘托展示内容的作用，又能为观众创造舒适的参观环境。 3．形式设计语言须符合博物馆各陈列主题的表达方式，做到主题突出，形式多样，创新性强，内容与形式完美统一。 4．平面布局和展线安排，应在对博物馆展厅空间结构、展览内容及展品、初步设计方案，科学、合理、适度地进行优化提升。做到布局得当、分配合理、节奏有致、重点突出；应合理安排观众参观路线，做到展线流畅，易于安全疏散。 5．艺术表现方式和科技展现手段要力求创新，避免与其他博物馆陈列方式雷同；展示手段必须新颖、多样，应设计制作适宜且具有特色的观众互动项目，注重观众的参与性，增强展览的生动性、观赏性、趣味性。 6．场景等艺术设计构思要立意准确，构图布局合理，制作工艺精良，艺术感染力强。多媒体展项要切合展览内容与主题，富有生动性和互动感，性能优良，操作简便，容易维护，价格合理。 7．辅助展品及装饰材料等展陈设计的取材要讲究绿色低碳环保，辅助展品的设计制作应符合展陈功能需求，加工精细。 8．展柜设计符合博物馆相关规范要求，应考虑展品存取方便、安全可靠，制作优良、经久耐用，符合本馆文物特征、属性。设备和产品的设计、生产和安装必须符合国家有关规范和标准，以保证展品的安全及观众参观的舒适性。相关设备和产品应具备较高的标准化程度，便于安装和拓展其他功能，并保证配套有完善的售后服务。 9．照明灯具必须是博物馆专用照明，多媒体等相关设备应做到质量优良、经久耐用。设备和产品的设计、生产、采购和安装必须符合各项国家安全规范和标准，以保证展品的安全及观众参观的舒适性，并保证配套有完善的售后服务。 10．展标、前言、展板、说明牌等文字内容采用中英双语，须由招标人认可的专业人员进行英文翻译及校对。各展馆内的视觉导引系统应有整体、统一的专业设计。 二、赋分标准（满分20分） 每项评审内容符合评审标准得2分，每存在一处漏洞或缺陷扣0.4分，2分扣完为止； 此处缺陷和漏洞是指：①有内容但不够全面，有遗漏、有缺失；②有内容但不够详细，简单粗略，描述含糊；③内容不够合理，不贴合项目实际情况；④内容未针对本项目，明显不符；⑤内容存在逻辑错误，表述存在漏洞，涉及的技术规范标准等与国家或行业或招标文件要求不一致。</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9、设计方案.docx</w:t>
            </w:r>
          </w:p>
        </w:tc>
      </w:tr>
      <w:tr>
        <w:tc>
          <w:tcPr>
            <w:tcW w:type="dxa" w:w="831"/>
            <w:vMerge/>
          </w:tcPr>
          <w:p/>
        </w:tc>
        <w:tc>
          <w:tcPr>
            <w:tcW w:type="dxa" w:w="1661"/>
          </w:tcPr>
          <w:p>
            <w:pPr>
              <w:pStyle w:val="null3"/>
            </w:pPr>
            <w:r>
              <w:rPr>
                <w:rFonts w:ascii="仿宋_GB2312" w:hAnsi="仿宋_GB2312" w:cs="仿宋_GB2312" w:eastAsia="仿宋_GB2312"/>
              </w:rPr>
              <w:t>实施计划方案分析</w:t>
            </w:r>
          </w:p>
        </w:tc>
        <w:tc>
          <w:tcPr>
            <w:tcW w:type="dxa" w:w="2492"/>
          </w:tcPr>
          <w:p>
            <w:pPr>
              <w:pStyle w:val="null3"/>
            </w:pPr>
            <w:r>
              <w:rPr>
                <w:rFonts w:ascii="仿宋_GB2312" w:hAnsi="仿宋_GB2312" w:cs="仿宋_GB2312" w:eastAsia="仿宋_GB2312"/>
              </w:rPr>
              <w:t>一、评审内容 根据供应商提供的施工实施计划方案进行评审。 内容包含： 1、项目重点难点分析：对项目重点难点分析进行说明，主要内容是工程的重点难点分析和相应的针对性措施及解决方案。 2、工程进度计划和保证措施，开发期的重要节点和管控措施：对总承包进度计划和保证措施，开发期的重要节点和管控措施进行说明。 3、资源配置计划：对施工资源投入计划进行说明，主要包括对劳动力、机械设备和材料的投入计划等内容。 4、成本管控方案和措施，包括对风险成本的控制措施：对整体成本管控方案和措施，包括对风险成本的控制措施进行说明。 5、针对本项目具体可行并符合国家相关保修规范的服务承诺及合理化建议。 二、赋分标准（满分10分） 每项评审内容符合评审标准得2分，每存在一处漏洞或缺陷扣0.4分，2分扣完为止； 此处缺陷和漏洞是指：①有内容但不够全面，有遗漏、有缺失；②有内容但不够详细，简单粗略，描述含糊；③内容不够合理，不贴合项目实际情况；④内容未针对本项目，明显不符；⑤内容存在逻辑错误，表述存在漏洞，涉及的技术规范标准等与国家或行业或招标文件要求不一致。</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10、实施计划方案分析.docx</w:t>
            </w:r>
          </w:p>
        </w:tc>
      </w:tr>
      <w:tr>
        <w:tc>
          <w:tcPr>
            <w:tcW w:type="dxa" w:w="831"/>
            <w:vMerge/>
          </w:tcPr>
          <w:p/>
        </w:tc>
        <w:tc>
          <w:tcPr>
            <w:tcW w:type="dxa" w:w="1661"/>
          </w:tcPr>
          <w:p>
            <w:pPr>
              <w:pStyle w:val="null3"/>
            </w:pPr>
            <w:r>
              <w:rPr>
                <w:rFonts w:ascii="仿宋_GB2312" w:hAnsi="仿宋_GB2312" w:cs="仿宋_GB2312" w:eastAsia="仿宋_GB2312"/>
              </w:rPr>
              <w:t>施工实施方案及技术措施</w:t>
            </w:r>
          </w:p>
        </w:tc>
        <w:tc>
          <w:tcPr>
            <w:tcW w:type="dxa" w:w="2492"/>
          </w:tcPr>
          <w:p>
            <w:pPr>
              <w:pStyle w:val="null3"/>
            </w:pPr>
            <w:r>
              <w:rPr>
                <w:rFonts w:ascii="仿宋_GB2312" w:hAnsi="仿宋_GB2312" w:cs="仿宋_GB2312" w:eastAsia="仿宋_GB2312"/>
              </w:rPr>
              <w:t>一、评审内容 针对本项目提供专业工程技术实施方案及技术措施，内容包含以下3项内容，每项3分： ①施工工艺流程科学、步骤完整、逻辑通顺； ②关键工序、特殊工序工艺做法详实、可落地实施； ③各专业工程实施的技术措施； 二、赋分标准 3 项内容均符合本项目采购需求且描述详细（如质量承诺含质保期内维修响应时限）得满分；每缺一项内容，扣3分；每项内容每存在一处缺陷或瑕疵扣0.6分，3分扣完为止； 备注：以上所称“缺陷或瑕疵”是指①内容缺项、不完整或缺少关键点；②非专门针对本项目或不适用本项目特性、套用其他项目内容；③对同一问题前后表述矛盾；④存在逻辑漏洞、科学原理或常识错误；⑤不利于本项目目标的实现、现有技术条件下不可能出现的情形。（本表所有对于瑕疵定义的内容“同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11、施工实施方案及技术措施.docx</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一、评审内容 针对本项目提供质量管理体系与措施，内容包含以下4项内容，每项2分： ①质量目标管理体系； ②确保质量的技术组织措施； ③施工质量控制措施； ④服务质量承诺。 二、赋分标准 4 项内容均符合本项目采购需求且描述详细（如质量承诺含质保期内维修响应时限）得满分；每缺一项内容，扣2分；每项内容每存在一处缺陷或瑕疵扣0.4分，2分扣完为止； 备注：以上所称“缺陷或瑕疵”是指①内容缺项、不完整或缺少关键点；②非专门针对本项目或不适用本项目特性、套用其他项目内容；③对同一问题前后表述矛盾；④存在逻辑漏洞、科学原理或常识错误；⑤不利于本项目目标的实现、现有技术条件下不可能出现的情形。（本表所有对于瑕疵定义的内容“同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12、质量管理体系与措施.docx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一、评审内容 针对本项目编制具体、可行的安全管理体系与措施，内容包含以下3项内容，每项2分： ①安全管理及施工制度； ②文物保护措施； ③现场安全巡查与隐患闭环管理措施等。 二、赋分标准 3项内容均完整，符合采购需求及文物保护、安全施工相关规范得满分，每缺一项内容，扣2分；每项内容每存在一处缺陷或瑕疵扣0.4分，2分扣完为止； 备注：以上所称“缺陷或瑕疵”是指①内容缺项、不完整或缺少关键点；②非专门针对本项目或不适用本项目特性、套用其他项目内容；③对同一问题前后表述矛盾；④存在逻辑漏洞、科学原理或常识错误；⑤不利于本项目目标的实现、现有技术条件下不可能出现的情形。（本表所有对于瑕疵定义的内容“同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13、安全管理体系与措施.docx</w:t>
            </w:r>
          </w:p>
        </w:tc>
      </w:tr>
      <w:tr>
        <w:tc>
          <w:tcPr>
            <w:tcW w:type="dxa" w:w="831"/>
            <w:vMerge/>
          </w:tcPr>
          <w:p/>
        </w:tc>
        <w:tc>
          <w:tcPr>
            <w:tcW w:type="dxa" w:w="1661"/>
          </w:tcPr>
          <w:p>
            <w:pPr>
              <w:pStyle w:val="null3"/>
            </w:pPr>
            <w:r>
              <w:rPr>
                <w:rFonts w:ascii="仿宋_GB2312" w:hAnsi="仿宋_GB2312" w:cs="仿宋_GB2312" w:eastAsia="仿宋_GB2312"/>
              </w:rPr>
              <w:t>拟派总承包负责人</w:t>
            </w:r>
          </w:p>
        </w:tc>
        <w:tc>
          <w:tcPr>
            <w:tcW w:type="dxa" w:w="2492"/>
          </w:tcPr>
          <w:p>
            <w:pPr>
              <w:pStyle w:val="null3"/>
            </w:pPr>
            <w:r>
              <w:rPr>
                <w:rFonts w:ascii="仿宋_GB2312" w:hAnsi="仿宋_GB2312" w:cs="仿宋_GB2312" w:eastAsia="仿宋_GB2312"/>
              </w:rPr>
              <w:t>1.学历（1分） 本科及以上得1分，大专得0.5分。 评审依据：以加盖公章的毕业证复印件为准。 2.职称（1分） 具备工程类高级及以上职称得1分，中级职称得0.5分，其它得0.5分。 评审依据：以加盖公章的职称证复印件为准。 3.业绩（2分） 2023年1月1日起至本项目响应文件递交截止时间止，拟派工程总承包项目经理具有类似的设计业绩或施工业绩或工程总承包业绩每有一项得1分，最多2分。 评审依据：以加盖单位公章的合同及竣工验收证明材料复印件或扫描件为准，时间以合同签订时间为准。未提供上述材料或所提供内容模糊不清的或未体现项目经理姓名的不予认可。</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18、附表5：项目管理机构.docx</w:t>
            </w:r>
          </w:p>
        </w:tc>
      </w:tr>
      <w:tr>
        <w:tc>
          <w:tcPr>
            <w:tcW w:type="dxa" w:w="831"/>
            <w:vMerge/>
          </w:tcPr>
          <w:p/>
        </w:tc>
        <w:tc>
          <w:tcPr>
            <w:tcW w:type="dxa" w:w="1661"/>
          </w:tcPr>
          <w:p>
            <w:pPr>
              <w:pStyle w:val="null3"/>
            </w:pPr>
            <w:r>
              <w:rPr>
                <w:rFonts w:ascii="仿宋_GB2312" w:hAnsi="仿宋_GB2312" w:cs="仿宋_GB2312" w:eastAsia="仿宋_GB2312"/>
              </w:rPr>
              <w:t>项目管理机构设置</w:t>
            </w:r>
          </w:p>
        </w:tc>
        <w:tc>
          <w:tcPr>
            <w:tcW w:type="dxa" w:w="2492"/>
          </w:tcPr>
          <w:p>
            <w:pPr>
              <w:pStyle w:val="null3"/>
            </w:pPr>
            <w:r>
              <w:rPr>
                <w:rFonts w:ascii="仿宋_GB2312" w:hAnsi="仿宋_GB2312" w:cs="仿宋_GB2312" w:eastAsia="仿宋_GB2312"/>
              </w:rPr>
              <w:t>项目部组成（设计负责人、施工负责人、技术负责人、安全负责人、施工员、质检员、安全员、材料员、预算员），完全满足计8分（附身份证、资格证复印件或扫描件并加盖供应商公章，无证书不得分），每缺少一项扣1分，未提供不得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18、附表5：项目管理机构.docx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供应商提供2023年1月1日（以合同签订时间为准）至今承接过的同类目业绩，以合同复印件加盖公章为准，每提供一份计1分，满分5分，未提供得0分。 注：业绩证明材料以合同为准，须在响应文件中附以上证明材料的扫描件加盖单位公章。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19、类似项目业绩一览表.docx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1、响应报价表.docx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1、经初审合格的磋商响应文件，其最终磋商报价为有效磋商报价。 2、本次磋商设最高限价（即采购预算价）。供应商的磋商报价超过招标最高限价的视为废标，不再参与下一步评审。 3、满足磋商文件实质性要求且最终报价最低的供应商的价格为磋商基准价，其价格分为满分30分。 4、磋商报价得分=（磋商基准价/最终磋商报价）×30的公式计算得分。 5、磋商报价不完整的，不进入评标标准价的计算，本项得0分。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1、响应报价表.docx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详见附件：1、响应报价表.docx</w:t>
      </w:r>
    </w:p>
    <w:p>
      <w:pPr>
        <w:pStyle w:val="null3"/>
        <w:ind w:firstLine="960"/>
      </w:pPr>
      <w:r>
        <w:rPr>
          <w:rFonts w:ascii="仿宋_GB2312" w:hAnsi="仿宋_GB2312" w:cs="仿宋_GB2312" w:eastAsia="仿宋_GB2312"/>
        </w:rPr>
        <w:t>详见附件：2、供应商应提交的相关资格证明材料.docx</w:t>
      </w:r>
    </w:p>
    <w:p>
      <w:pPr>
        <w:pStyle w:val="null3"/>
        <w:ind w:firstLine="960"/>
      </w:pPr>
      <w:r>
        <w:rPr>
          <w:rFonts w:ascii="仿宋_GB2312" w:hAnsi="仿宋_GB2312" w:cs="仿宋_GB2312" w:eastAsia="仿宋_GB2312"/>
        </w:rPr>
        <w:t>详见附件：3、法定代表人身份证明书.docx</w:t>
      </w:r>
    </w:p>
    <w:p>
      <w:pPr>
        <w:pStyle w:val="null3"/>
        <w:ind w:firstLine="960"/>
      </w:pPr>
      <w:r>
        <w:rPr>
          <w:rFonts w:ascii="仿宋_GB2312" w:hAnsi="仿宋_GB2312" w:cs="仿宋_GB2312" w:eastAsia="仿宋_GB2312"/>
        </w:rPr>
        <w:t>详见附件：4、法定代表人授权委托书.docx</w:t>
      </w:r>
    </w:p>
    <w:p>
      <w:pPr>
        <w:pStyle w:val="null3"/>
        <w:ind w:firstLine="960"/>
      </w:pPr>
      <w:r>
        <w:rPr>
          <w:rFonts w:ascii="仿宋_GB2312" w:hAnsi="仿宋_GB2312" w:cs="仿宋_GB2312" w:eastAsia="仿宋_GB2312"/>
        </w:rPr>
        <w:t>详见附件：5、承诺书.docx</w:t>
      </w:r>
    </w:p>
    <w:p>
      <w:pPr>
        <w:pStyle w:val="null3"/>
        <w:ind w:firstLine="960"/>
      </w:pPr>
      <w:r>
        <w:rPr>
          <w:rFonts w:ascii="仿宋_GB2312" w:hAnsi="仿宋_GB2312" w:cs="仿宋_GB2312" w:eastAsia="仿宋_GB2312"/>
        </w:rPr>
        <w:t>详见附件：6、总承包项目负责人无在建承诺书.docx</w:t>
      </w:r>
    </w:p>
    <w:p>
      <w:pPr>
        <w:pStyle w:val="null3"/>
        <w:ind w:firstLine="960"/>
      </w:pPr>
      <w:r>
        <w:rPr>
          <w:rFonts w:ascii="仿宋_GB2312" w:hAnsi="仿宋_GB2312" w:cs="仿宋_GB2312" w:eastAsia="仿宋_GB2312"/>
        </w:rPr>
        <w:t>详见附件：7、施工项目负责人无在建承诺书.docx</w:t>
      </w:r>
    </w:p>
    <w:p>
      <w:pPr>
        <w:pStyle w:val="null3"/>
        <w:ind w:firstLine="960"/>
      </w:pPr>
      <w:r>
        <w:rPr>
          <w:rFonts w:ascii="仿宋_GB2312" w:hAnsi="仿宋_GB2312" w:cs="仿宋_GB2312" w:eastAsia="仿宋_GB2312"/>
        </w:rPr>
        <w:t>详见附件：8、陕西省政府采购供应商拒绝政府采购领域商业贿赂承诺书.docx</w:t>
      </w:r>
    </w:p>
    <w:p>
      <w:pPr>
        <w:pStyle w:val="null3"/>
        <w:ind w:firstLine="960"/>
      </w:pPr>
      <w:r>
        <w:rPr>
          <w:rFonts w:ascii="仿宋_GB2312" w:hAnsi="仿宋_GB2312" w:cs="仿宋_GB2312" w:eastAsia="仿宋_GB2312"/>
        </w:rPr>
        <w:t>详见附件：9、设计方案.docx</w:t>
      </w:r>
    </w:p>
    <w:p>
      <w:pPr>
        <w:pStyle w:val="null3"/>
        <w:ind w:firstLine="960"/>
      </w:pPr>
      <w:r>
        <w:rPr>
          <w:rFonts w:ascii="仿宋_GB2312" w:hAnsi="仿宋_GB2312" w:cs="仿宋_GB2312" w:eastAsia="仿宋_GB2312"/>
        </w:rPr>
        <w:t>详见附件：10、实施计划方案分析.docx</w:t>
      </w:r>
    </w:p>
    <w:p>
      <w:pPr>
        <w:pStyle w:val="null3"/>
        <w:ind w:firstLine="960"/>
      </w:pPr>
      <w:r>
        <w:rPr>
          <w:rFonts w:ascii="仿宋_GB2312" w:hAnsi="仿宋_GB2312" w:cs="仿宋_GB2312" w:eastAsia="仿宋_GB2312"/>
        </w:rPr>
        <w:t>详见附件：11、施工实施方案及技术措施.docx</w:t>
      </w:r>
    </w:p>
    <w:p>
      <w:pPr>
        <w:pStyle w:val="null3"/>
        <w:ind w:firstLine="960"/>
      </w:pPr>
      <w:r>
        <w:rPr>
          <w:rFonts w:ascii="仿宋_GB2312" w:hAnsi="仿宋_GB2312" w:cs="仿宋_GB2312" w:eastAsia="仿宋_GB2312"/>
        </w:rPr>
        <w:t>详见附件：12、质量管理体系与措施.docx</w:t>
      </w:r>
    </w:p>
    <w:p>
      <w:pPr>
        <w:pStyle w:val="null3"/>
        <w:ind w:firstLine="960"/>
      </w:pPr>
      <w:r>
        <w:rPr>
          <w:rFonts w:ascii="仿宋_GB2312" w:hAnsi="仿宋_GB2312" w:cs="仿宋_GB2312" w:eastAsia="仿宋_GB2312"/>
        </w:rPr>
        <w:t>详见附件：13、安全管理体系与措施.docx</w:t>
      </w:r>
    </w:p>
    <w:p>
      <w:pPr>
        <w:pStyle w:val="null3"/>
        <w:ind w:firstLine="960"/>
      </w:pPr>
      <w:r>
        <w:rPr>
          <w:rFonts w:ascii="仿宋_GB2312" w:hAnsi="仿宋_GB2312" w:cs="仿宋_GB2312" w:eastAsia="仿宋_GB2312"/>
        </w:rPr>
        <w:t>详见附件：14、附表1：拟投入的主要施工机械设备表.docx</w:t>
      </w:r>
    </w:p>
    <w:p>
      <w:pPr>
        <w:pStyle w:val="null3"/>
        <w:ind w:firstLine="960"/>
      </w:pPr>
      <w:r>
        <w:rPr>
          <w:rFonts w:ascii="仿宋_GB2312" w:hAnsi="仿宋_GB2312" w:cs="仿宋_GB2312" w:eastAsia="仿宋_GB2312"/>
        </w:rPr>
        <w:t>详见附件：15、附表2：拟配备的试验和检测仪器设备表.docx</w:t>
      </w:r>
    </w:p>
    <w:p>
      <w:pPr>
        <w:pStyle w:val="null3"/>
        <w:ind w:firstLine="960"/>
      </w:pPr>
      <w:r>
        <w:rPr>
          <w:rFonts w:ascii="仿宋_GB2312" w:hAnsi="仿宋_GB2312" w:cs="仿宋_GB2312" w:eastAsia="仿宋_GB2312"/>
        </w:rPr>
        <w:t>详见附件：16、附表3：劳动力计划表.docx</w:t>
      </w:r>
    </w:p>
    <w:p>
      <w:pPr>
        <w:pStyle w:val="null3"/>
        <w:ind w:firstLine="960"/>
      </w:pPr>
      <w:r>
        <w:rPr>
          <w:rFonts w:ascii="仿宋_GB2312" w:hAnsi="仿宋_GB2312" w:cs="仿宋_GB2312" w:eastAsia="仿宋_GB2312"/>
        </w:rPr>
        <w:t>详见附件：17、附表4：计划开、竣工日期和施工进度网络图.docx</w:t>
      </w:r>
    </w:p>
    <w:p>
      <w:pPr>
        <w:pStyle w:val="null3"/>
        <w:ind w:firstLine="960"/>
      </w:pPr>
      <w:r>
        <w:rPr>
          <w:rFonts w:ascii="仿宋_GB2312" w:hAnsi="仿宋_GB2312" w:cs="仿宋_GB2312" w:eastAsia="仿宋_GB2312"/>
        </w:rPr>
        <w:t>详见附件：18、附表5：项目管理机构.docx</w:t>
      </w:r>
    </w:p>
    <w:p>
      <w:pPr>
        <w:pStyle w:val="null3"/>
        <w:ind w:firstLine="960"/>
      </w:pPr>
      <w:r>
        <w:rPr>
          <w:rFonts w:ascii="仿宋_GB2312" w:hAnsi="仿宋_GB2312" w:cs="仿宋_GB2312" w:eastAsia="仿宋_GB2312"/>
        </w:rPr>
        <w:t>详见附件：19、类似项目业绩一览表.docx</w:t>
      </w:r>
    </w:p>
    <w:p>
      <w:pPr>
        <w:pStyle w:val="null3"/>
        <w:ind w:firstLine="960"/>
      </w:pPr>
      <w:r>
        <w:rPr>
          <w:rFonts w:ascii="仿宋_GB2312" w:hAnsi="仿宋_GB2312" w:cs="仿宋_GB2312" w:eastAsia="仿宋_GB2312"/>
        </w:rPr>
        <w:t>详见附件：20、联合体协议书.docx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