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25AA7">
      <w:pPr>
        <w:ind w:firstLine="1044"/>
        <w:jc w:val="center"/>
        <w:rPr>
          <w:rFonts w:hint="eastAsia" w:cs="宋体" w:asciiTheme="minorEastAsia" w:hAnsiTheme="minorEastAsia"/>
          <w:b/>
          <w:bCs/>
          <w:sz w:val="52"/>
          <w:szCs w:val="52"/>
          <w:lang w:eastAsia="zh-CN"/>
        </w:rPr>
      </w:pPr>
    </w:p>
    <w:p w14:paraId="5823D6A0">
      <w:pPr>
        <w:ind w:firstLine="1044"/>
        <w:jc w:val="center"/>
        <w:rPr>
          <w:rFonts w:hint="default" w:asciiTheme="minorEastAsia" w:hAnsiTheme="minorEastAsia"/>
          <w:b/>
          <w:sz w:val="52"/>
          <w:szCs w:val="52"/>
          <w:lang w:val="en-US"/>
        </w:rPr>
      </w:pPr>
      <w:r>
        <w:rPr>
          <w:rFonts w:hint="eastAsia" w:cs="宋体" w:asciiTheme="minorEastAsia" w:hAnsiTheme="minorEastAsia"/>
          <w:b/>
          <w:bCs/>
          <w:sz w:val="52"/>
          <w:szCs w:val="52"/>
          <w:lang w:eastAsia="zh-CN"/>
        </w:rPr>
        <w:t>西安高新第二学校后勤服务外包采购项目</w:t>
      </w:r>
      <w:r>
        <w:rPr>
          <w:rFonts w:hint="eastAsia" w:cs="宋体" w:asciiTheme="minorEastAsia" w:hAnsiTheme="minorEastAsia"/>
          <w:b/>
          <w:bCs/>
          <w:sz w:val="52"/>
          <w:szCs w:val="52"/>
          <w:lang w:val="en-US" w:eastAsia="zh-CN"/>
        </w:rPr>
        <w:t>合同</w:t>
      </w:r>
    </w:p>
    <w:p w14:paraId="76313273">
      <w:pPr>
        <w:adjustRightInd w:val="0"/>
        <w:snapToGrid w:val="0"/>
        <w:spacing w:before="60" w:after="60" w:line="360" w:lineRule="auto"/>
        <w:ind w:firstLine="723"/>
        <w:jc w:val="center"/>
        <w:rPr>
          <w:rFonts w:cs="宋体" w:asciiTheme="minorEastAsia" w:hAnsiTheme="minorEastAsia"/>
          <w:b/>
          <w:sz w:val="28"/>
          <w:szCs w:val="21"/>
        </w:rPr>
      </w:pPr>
      <w:r>
        <w:rPr>
          <w:rFonts w:hint="eastAsia" w:cs="宋体" w:asciiTheme="minorEastAsia" w:hAnsiTheme="minorEastAsia"/>
          <w:b/>
          <w:sz w:val="28"/>
          <w:szCs w:val="21"/>
        </w:rPr>
        <w:t>（</w:t>
      </w:r>
      <w:r>
        <w:rPr>
          <w:rFonts w:hint="eastAsia" w:cs="宋体" w:asciiTheme="minorEastAsia" w:hAnsiTheme="minorEastAsia"/>
          <w:b/>
          <w:sz w:val="28"/>
          <w:szCs w:val="21"/>
          <w:lang w:val="en-US" w:eastAsia="zh-CN"/>
        </w:rPr>
        <w:t>注</w:t>
      </w:r>
      <w:r>
        <w:rPr>
          <w:rFonts w:hint="eastAsia" w:cs="宋体" w:asciiTheme="minorEastAsia" w:hAnsiTheme="minorEastAsia"/>
          <w:b/>
          <w:sz w:val="28"/>
          <w:szCs w:val="21"/>
        </w:rPr>
        <w:t>：此合同文本仅供参考，具体条款由甲乙双方协商自拟）</w:t>
      </w:r>
    </w:p>
    <w:p w14:paraId="2B13100B">
      <w:pPr>
        <w:pStyle w:val="2"/>
        <w:ind w:firstLine="562"/>
        <w:rPr>
          <w:rFonts w:asciiTheme="minorEastAsia" w:hAnsiTheme="minorEastAsia" w:eastAsiaTheme="minorEastAsia"/>
        </w:rPr>
      </w:pPr>
    </w:p>
    <w:p w14:paraId="51C53750">
      <w:pPr>
        <w:pStyle w:val="2"/>
        <w:ind w:firstLine="562"/>
        <w:rPr>
          <w:rFonts w:asciiTheme="minorEastAsia" w:hAnsiTheme="minorEastAsia" w:eastAsiaTheme="minorEastAsia"/>
        </w:rPr>
      </w:pPr>
    </w:p>
    <w:p w14:paraId="2DA473F2">
      <w:pPr>
        <w:pStyle w:val="2"/>
        <w:ind w:firstLine="562"/>
        <w:rPr>
          <w:rFonts w:asciiTheme="minorEastAsia" w:hAnsiTheme="minorEastAsia" w:eastAsiaTheme="minorEastAsia"/>
        </w:rPr>
      </w:pPr>
    </w:p>
    <w:p w14:paraId="3010FF36">
      <w:pPr>
        <w:pStyle w:val="2"/>
        <w:ind w:firstLine="562"/>
        <w:rPr>
          <w:rFonts w:asciiTheme="minorEastAsia" w:hAnsiTheme="minorEastAsia" w:eastAsiaTheme="minorEastAsia"/>
        </w:rPr>
      </w:pPr>
    </w:p>
    <w:p w14:paraId="0487A806">
      <w:pPr>
        <w:pStyle w:val="2"/>
        <w:ind w:firstLine="562"/>
        <w:rPr>
          <w:rFonts w:asciiTheme="minorEastAsia" w:hAnsiTheme="minorEastAsia" w:eastAsiaTheme="minorEastAsia"/>
        </w:rPr>
      </w:pPr>
    </w:p>
    <w:p w14:paraId="6B8AFB0D">
      <w:pPr>
        <w:pStyle w:val="2"/>
        <w:ind w:firstLine="1594" w:firstLineChars="567"/>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采购人：</w:t>
      </w:r>
      <w:r>
        <w:rPr>
          <w:rFonts w:hint="eastAsia" w:asciiTheme="minorEastAsia" w:hAnsiTheme="minorEastAsia" w:eastAsiaTheme="minorEastAsia"/>
          <w:u w:val="single"/>
          <w:lang w:val="en-US" w:eastAsia="zh-CN"/>
        </w:rPr>
        <w:t xml:space="preserve">                       </w:t>
      </w:r>
    </w:p>
    <w:p w14:paraId="5CD1B7D1">
      <w:pPr>
        <w:pStyle w:val="2"/>
        <w:ind w:firstLine="1594" w:firstLineChars="567"/>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供应商：</w:t>
      </w:r>
      <w:r>
        <w:rPr>
          <w:rFonts w:hint="eastAsia" w:asciiTheme="minorEastAsia" w:hAnsiTheme="minorEastAsia" w:eastAsiaTheme="minorEastAsia"/>
          <w:u w:val="single"/>
          <w:lang w:val="en-US" w:eastAsia="zh-CN"/>
        </w:rPr>
        <w:t xml:space="preserve">                       </w:t>
      </w:r>
    </w:p>
    <w:p w14:paraId="5EAF4E0F">
      <w:pPr>
        <w:pStyle w:val="2"/>
        <w:ind w:firstLine="562"/>
        <w:jc w:val="center"/>
        <w:rPr>
          <w:rFonts w:hint="eastAsia" w:asciiTheme="minorEastAsia" w:hAnsiTheme="minorEastAsia" w:eastAsiaTheme="minorEastAsia"/>
          <w:lang w:val="en-US" w:eastAsia="zh-CN"/>
        </w:rPr>
      </w:pPr>
    </w:p>
    <w:p w14:paraId="4EFD253D">
      <w:pPr>
        <w:jc w:val="center"/>
        <w:rPr>
          <w:rFonts w:hint="eastAsia" w:asciiTheme="minorEastAsia" w:hAnsiTheme="minorEastAsia" w:eastAsiaTheme="minorEastAsia" w:cstheme="majorBidi"/>
          <w:b/>
          <w:bCs/>
          <w:kern w:val="2"/>
          <w:sz w:val="28"/>
          <w:szCs w:val="28"/>
          <w:lang w:val="en-US" w:eastAsia="zh-CN" w:bidi="ar-SA"/>
        </w:rPr>
      </w:pPr>
      <w:r>
        <w:rPr>
          <w:rFonts w:hint="eastAsia" w:asciiTheme="minorEastAsia" w:hAnsiTheme="minorEastAsia" w:eastAsiaTheme="minorEastAsia" w:cstheme="majorBidi"/>
          <w:b/>
          <w:bCs/>
          <w:kern w:val="2"/>
          <w:sz w:val="28"/>
          <w:szCs w:val="28"/>
          <w:lang w:val="en-US" w:eastAsia="zh-CN" w:bidi="ar-SA"/>
        </w:rPr>
        <w:t>日期：</w:t>
      </w:r>
      <w:r>
        <w:rPr>
          <w:rFonts w:hint="eastAsia" w:asciiTheme="minorEastAsia" w:hAnsiTheme="minorEastAsia" w:eastAsiaTheme="minorEastAsia" w:cstheme="majorBidi"/>
          <w:b/>
          <w:bCs/>
          <w:kern w:val="2"/>
          <w:sz w:val="28"/>
          <w:szCs w:val="28"/>
          <w:u w:val="single"/>
          <w:lang w:val="en-US" w:eastAsia="zh-CN" w:bidi="ar-SA"/>
        </w:rPr>
        <w:t xml:space="preserve">     </w:t>
      </w:r>
      <w:r>
        <w:rPr>
          <w:rFonts w:hint="eastAsia" w:asciiTheme="minorEastAsia" w:hAnsiTheme="minorEastAsia" w:eastAsiaTheme="minorEastAsia" w:cstheme="majorBidi"/>
          <w:b/>
          <w:bCs/>
          <w:kern w:val="2"/>
          <w:sz w:val="28"/>
          <w:szCs w:val="28"/>
          <w:u w:val="none"/>
          <w:lang w:val="en-US" w:eastAsia="zh-CN" w:bidi="ar-SA"/>
        </w:rPr>
        <w:t>年</w:t>
      </w:r>
      <w:r>
        <w:rPr>
          <w:rFonts w:hint="eastAsia" w:asciiTheme="minorEastAsia" w:hAnsiTheme="minorEastAsia" w:eastAsiaTheme="minorEastAsia" w:cstheme="majorBidi"/>
          <w:b/>
          <w:bCs/>
          <w:kern w:val="2"/>
          <w:sz w:val="28"/>
          <w:szCs w:val="28"/>
          <w:u w:val="single"/>
          <w:lang w:val="en-US" w:eastAsia="zh-CN" w:bidi="ar-SA"/>
        </w:rPr>
        <w:t xml:space="preserve">     </w:t>
      </w:r>
      <w:r>
        <w:rPr>
          <w:rFonts w:hint="eastAsia" w:asciiTheme="minorEastAsia" w:hAnsiTheme="minorEastAsia" w:eastAsiaTheme="minorEastAsia" w:cstheme="majorBidi"/>
          <w:b/>
          <w:bCs/>
          <w:kern w:val="2"/>
          <w:sz w:val="28"/>
          <w:szCs w:val="28"/>
          <w:u w:val="none"/>
          <w:lang w:val="en-US" w:eastAsia="zh-CN" w:bidi="ar-SA"/>
        </w:rPr>
        <w:t>月</w:t>
      </w:r>
      <w:r>
        <w:rPr>
          <w:rFonts w:hint="eastAsia" w:asciiTheme="minorEastAsia" w:hAnsiTheme="minorEastAsia" w:eastAsiaTheme="minorEastAsia" w:cstheme="majorBidi"/>
          <w:b/>
          <w:bCs/>
          <w:kern w:val="2"/>
          <w:sz w:val="28"/>
          <w:szCs w:val="28"/>
          <w:u w:val="single"/>
          <w:lang w:val="en-US" w:eastAsia="zh-CN" w:bidi="ar-SA"/>
        </w:rPr>
        <w:t xml:space="preserve">    </w:t>
      </w:r>
      <w:r>
        <w:rPr>
          <w:rFonts w:hint="eastAsia" w:asciiTheme="minorEastAsia" w:hAnsiTheme="minorEastAsia" w:eastAsiaTheme="minorEastAsia" w:cstheme="majorBidi"/>
          <w:b/>
          <w:bCs/>
          <w:kern w:val="2"/>
          <w:sz w:val="28"/>
          <w:szCs w:val="28"/>
          <w:u w:val="none"/>
          <w:lang w:val="en-US" w:eastAsia="zh-CN" w:bidi="ar-SA"/>
        </w:rPr>
        <w:t>日</w:t>
      </w:r>
    </w:p>
    <w:p w14:paraId="03B86DC4">
      <w:pPr>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br w:type="page"/>
      </w:r>
    </w:p>
    <w:p w14:paraId="7D4F2C5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用工单位(甲方)：</w:t>
      </w:r>
      <w:r>
        <w:rPr>
          <w:rFonts w:hint="eastAsia" w:ascii="宋体" w:hAnsi="宋体" w:eastAsia="宋体" w:cs="宋体"/>
          <w:color w:val="auto"/>
          <w:sz w:val="24"/>
          <w:szCs w:val="24"/>
          <w:u w:val="single"/>
          <w:lang w:val="en-US" w:eastAsia="zh-CN"/>
        </w:rPr>
        <w:t xml:space="preserve">                     </w:t>
      </w:r>
    </w:p>
    <w:p w14:paraId="6B7130F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地址：</w:t>
      </w:r>
      <w:r>
        <w:rPr>
          <w:rFonts w:hint="eastAsia" w:ascii="宋体" w:hAnsi="宋体" w:eastAsia="宋体" w:cs="宋体"/>
          <w:color w:val="auto"/>
          <w:sz w:val="24"/>
          <w:szCs w:val="24"/>
          <w:u w:val="single"/>
          <w:lang w:val="en-US" w:eastAsia="zh-CN"/>
        </w:rPr>
        <w:t xml:space="preserve">                               </w:t>
      </w:r>
    </w:p>
    <w:p w14:paraId="073D18A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法定代表人：</w:t>
      </w:r>
      <w:r>
        <w:rPr>
          <w:rFonts w:hint="eastAsia" w:ascii="宋体" w:hAnsi="宋体" w:eastAsia="宋体" w:cs="宋体"/>
          <w:color w:val="auto"/>
          <w:sz w:val="24"/>
          <w:szCs w:val="24"/>
          <w:u w:val="single"/>
          <w:lang w:val="en-US" w:eastAsia="zh-CN"/>
        </w:rPr>
        <w:t xml:space="preserve">                         </w:t>
      </w:r>
    </w:p>
    <w:p w14:paraId="421D95AD">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联系人：</w:t>
      </w:r>
      <w:r>
        <w:rPr>
          <w:rFonts w:hint="eastAsia" w:ascii="宋体" w:hAnsi="宋体" w:eastAsia="宋体" w:cs="宋体"/>
          <w:color w:val="auto"/>
          <w:sz w:val="24"/>
          <w:szCs w:val="24"/>
          <w:u w:val="single"/>
          <w:lang w:val="en-US" w:eastAsia="zh-CN"/>
        </w:rPr>
        <w:t xml:space="preserve">                             </w:t>
      </w:r>
    </w:p>
    <w:p w14:paraId="666A3A9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p>
    <w:p w14:paraId="274D098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保障单位(乙方)：</w:t>
      </w:r>
      <w:r>
        <w:rPr>
          <w:rFonts w:hint="eastAsia" w:ascii="宋体" w:hAnsi="宋体" w:eastAsia="宋体" w:cs="宋体"/>
          <w:color w:val="auto"/>
          <w:sz w:val="24"/>
          <w:szCs w:val="24"/>
          <w:u w:val="single"/>
          <w:lang w:val="en-US" w:eastAsia="zh-CN"/>
        </w:rPr>
        <w:t xml:space="preserve">                     </w:t>
      </w:r>
    </w:p>
    <w:p w14:paraId="506B953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地址：</w:t>
      </w:r>
      <w:r>
        <w:rPr>
          <w:rFonts w:hint="eastAsia" w:ascii="宋体" w:hAnsi="宋体" w:eastAsia="宋体" w:cs="宋体"/>
          <w:color w:val="auto"/>
          <w:sz w:val="24"/>
          <w:szCs w:val="24"/>
          <w:u w:val="single"/>
          <w:lang w:val="en-US" w:eastAsia="zh-CN"/>
        </w:rPr>
        <w:t xml:space="preserve">                               </w:t>
      </w:r>
    </w:p>
    <w:p w14:paraId="5580502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法定代表人：</w:t>
      </w:r>
      <w:r>
        <w:rPr>
          <w:rFonts w:hint="eastAsia" w:ascii="宋体" w:hAnsi="宋体" w:eastAsia="宋体" w:cs="宋体"/>
          <w:color w:val="auto"/>
          <w:sz w:val="24"/>
          <w:szCs w:val="24"/>
          <w:u w:val="single"/>
          <w:lang w:val="en-US" w:eastAsia="zh-CN"/>
        </w:rPr>
        <w:t xml:space="preserve">                         </w:t>
      </w:r>
    </w:p>
    <w:p w14:paraId="543E322C">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联系人：</w:t>
      </w:r>
      <w:r>
        <w:rPr>
          <w:rFonts w:hint="eastAsia" w:ascii="宋体" w:hAnsi="宋体" w:eastAsia="宋体" w:cs="宋体"/>
          <w:color w:val="auto"/>
          <w:sz w:val="24"/>
          <w:szCs w:val="24"/>
          <w:u w:val="single"/>
          <w:lang w:val="en-US" w:eastAsia="zh-CN"/>
        </w:rPr>
        <w:t xml:space="preserve">                              </w:t>
      </w:r>
    </w:p>
    <w:p w14:paraId="41314FAA">
      <w:pPr>
        <w:pageBreakBefore w:val="0"/>
        <w:widowControl/>
        <w:kinsoku/>
        <w:wordWrap w:val="0"/>
        <w:overflowPunct/>
        <w:topLinePunct/>
        <w:bidi w:val="0"/>
        <w:snapToGrid/>
        <w:spacing w:beforeAutospacing="0" w:afterAutospacing="0" w:line="360" w:lineRule="auto"/>
        <w:ind w:left="105" w:leftChars="50" w:firstLine="456"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根据《中华人民共和国民法典》《物业管理条例</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rPr>
        <w:t>《中华人民共和国劳动</w:t>
      </w:r>
      <w:r>
        <w:rPr>
          <w:rFonts w:hint="eastAsia" w:ascii="宋体" w:hAnsi="宋体" w:eastAsia="宋体" w:cs="宋体"/>
          <w:color w:val="auto"/>
          <w:spacing w:val="-6"/>
          <w:sz w:val="24"/>
          <w:szCs w:val="24"/>
          <w:lang w:eastAsia="zh-CN"/>
        </w:rPr>
        <w:t>协议</w:t>
      </w:r>
      <w:r>
        <w:rPr>
          <w:rFonts w:hint="eastAsia" w:ascii="宋体" w:hAnsi="宋体" w:eastAsia="宋体" w:cs="宋体"/>
          <w:color w:val="auto"/>
          <w:spacing w:val="-6"/>
          <w:sz w:val="24"/>
          <w:szCs w:val="24"/>
        </w:rPr>
        <w:t>法》《中华人民共和国劳动法》以及</w:t>
      </w:r>
      <w:r>
        <w:rPr>
          <w:rFonts w:hint="eastAsia" w:ascii="宋体" w:hAnsi="宋体" w:eastAsia="宋体" w:cs="宋体"/>
          <w:color w:val="auto"/>
          <w:spacing w:val="-9"/>
          <w:sz w:val="24"/>
          <w:szCs w:val="24"/>
        </w:rPr>
        <w:t>国家法律、法规的有关规定，</w:t>
      </w:r>
      <w:bookmarkStart w:id="0" w:name="_GoBack"/>
      <w:bookmarkEnd w:id="0"/>
      <w:r>
        <w:rPr>
          <w:rFonts w:hint="eastAsia" w:ascii="宋体" w:hAnsi="宋体" w:eastAsia="宋体" w:cs="宋体"/>
          <w:color w:val="auto"/>
          <w:sz w:val="24"/>
          <w:szCs w:val="24"/>
        </w:rPr>
        <w:t>经过甲、乙双方充分协商，就</w:t>
      </w:r>
      <w:r>
        <w:rPr>
          <w:rFonts w:hint="eastAsia" w:ascii="宋体" w:hAnsi="宋体" w:eastAsia="宋体" w:cs="宋体"/>
          <w:color w:val="auto"/>
          <w:sz w:val="24"/>
          <w:szCs w:val="24"/>
          <w:u w:val="single"/>
          <w:lang w:val="en-US" w:eastAsia="zh-CN"/>
        </w:rPr>
        <w:t xml:space="preserve">             （项目名称）</w:t>
      </w:r>
      <w:r>
        <w:rPr>
          <w:rFonts w:hint="eastAsia" w:ascii="宋体" w:hAnsi="宋体" w:eastAsia="宋体" w:cs="宋体"/>
          <w:color w:val="auto"/>
          <w:sz w:val="24"/>
          <w:szCs w:val="24"/>
        </w:rPr>
        <w:t>事宜达成如下协议，以资双方共同遵守。</w:t>
      </w:r>
    </w:p>
    <w:p w14:paraId="1BB87F86">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color w:val="auto"/>
          <w:sz w:val="24"/>
          <w:szCs w:val="24"/>
        </w:rPr>
      </w:pPr>
      <w:r>
        <w:rPr>
          <w:rFonts w:hint="eastAsia" w:ascii="宋体" w:hAnsi="宋体" w:eastAsia="宋体" w:cs="宋体"/>
          <w:b w:val="0"/>
          <w:bCs w:val="0"/>
          <w:sz w:val="24"/>
          <w:szCs w:val="24"/>
          <w:lang w:val="en-US" w:eastAsia="zh-CN"/>
        </w:rPr>
        <w:t>一、服务条件</w:t>
      </w:r>
    </w:p>
    <w:p w14:paraId="74DF817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p>
    <w:p w14:paraId="05C1789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none"/>
        </w:rPr>
        <w:t>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w:t>
      </w:r>
      <w:r>
        <w:rPr>
          <w:rFonts w:hint="eastAsia" w:ascii="宋体" w:hAnsi="宋体" w:eastAsia="宋体" w:cs="宋体"/>
          <w:color w:val="auto"/>
          <w:sz w:val="24"/>
          <w:szCs w:val="24"/>
          <w:u w:val="none"/>
        </w:rPr>
        <w:t>起至</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w:t>
      </w:r>
      <w:r>
        <w:rPr>
          <w:rFonts w:hint="eastAsia" w:ascii="宋体" w:hAnsi="宋体" w:eastAsia="宋体" w:cs="宋体"/>
          <w:color w:val="auto"/>
          <w:sz w:val="24"/>
          <w:szCs w:val="24"/>
          <w:u w:val="none"/>
        </w:rPr>
        <w:t>止，共计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年。</w:t>
      </w:r>
    </w:p>
    <w:p w14:paraId="72D0F03A">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二、协议价款</w:t>
      </w:r>
    </w:p>
    <w:p w14:paraId="49EAB5F5">
      <w:pPr>
        <w:keepNext w:val="0"/>
        <w:keepLines w:val="0"/>
        <w:pageBreakBefore w:val="0"/>
        <w:widowControl/>
        <w:kinsoku/>
        <w:wordWrap w:val="0"/>
        <w:overflowPunct/>
        <w:topLinePunct/>
        <w:autoSpaceDE/>
        <w:autoSpaceDN/>
        <w:bidi w:val="0"/>
        <w:adjustRightInd/>
        <w:snapToGrid/>
        <w:spacing w:afterAutospacing="0" w:line="360" w:lineRule="auto"/>
        <w:ind w:left="105" w:leftChars="50" w:firstLine="456" w:firstLineChars="200"/>
        <w:jc w:val="both"/>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（一）</w:t>
      </w:r>
      <w:r>
        <w:rPr>
          <w:rFonts w:hint="eastAsia" w:ascii="宋体" w:hAnsi="宋体" w:eastAsia="宋体" w:cs="宋体"/>
          <w:color w:val="auto"/>
          <w:spacing w:val="-6"/>
          <w:sz w:val="24"/>
          <w:szCs w:val="24"/>
          <w:lang w:eastAsia="zh-CN"/>
        </w:rPr>
        <w:t>协议</w:t>
      </w:r>
      <w:r>
        <w:rPr>
          <w:rFonts w:hint="eastAsia" w:ascii="宋体" w:hAnsi="宋体" w:eastAsia="宋体" w:cs="宋体"/>
          <w:color w:val="auto"/>
          <w:spacing w:val="-6"/>
          <w:sz w:val="24"/>
          <w:szCs w:val="24"/>
        </w:rPr>
        <w:t>总价款为人民币</w:t>
      </w:r>
      <w:r>
        <w:rPr>
          <w:rFonts w:hint="eastAsia" w:ascii="宋体" w:hAnsi="宋体" w:eastAsia="宋体" w:cs="宋体"/>
          <w:color w:val="auto"/>
          <w:spacing w:val="-6"/>
          <w:sz w:val="24"/>
          <w:szCs w:val="24"/>
          <w:u w:val="single" w:color="auto"/>
        </w:rPr>
        <w:t>¥</w:t>
      </w:r>
      <w:r>
        <w:rPr>
          <w:rFonts w:hint="eastAsia" w:ascii="宋体" w:hAnsi="宋体" w:eastAsia="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rPr>
        <w:t>（大写</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u w:val="single"/>
          <w:lang w:val="en-US" w:eastAsia="zh-CN"/>
        </w:rPr>
        <w:t xml:space="preserve">           </w:t>
      </w:r>
      <w:r>
        <w:rPr>
          <w:rFonts w:hint="eastAsia" w:ascii="宋体" w:hAnsi="宋体" w:eastAsia="宋体" w:cs="宋体"/>
          <w:color w:val="auto"/>
          <w:spacing w:val="-6"/>
          <w:sz w:val="24"/>
          <w:szCs w:val="24"/>
          <w:u w:val="none"/>
          <w:lang w:eastAsia="zh-CN"/>
        </w:rPr>
        <w:t>）</w:t>
      </w:r>
      <w:r>
        <w:rPr>
          <w:rFonts w:hint="eastAsia" w:ascii="宋体" w:hAnsi="宋体" w:eastAsia="宋体" w:cs="宋体"/>
          <w:color w:val="auto"/>
          <w:spacing w:val="-6"/>
          <w:sz w:val="24"/>
          <w:szCs w:val="24"/>
        </w:rPr>
        <w:t>。</w:t>
      </w:r>
    </w:p>
    <w:p w14:paraId="7784F470">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（二）</w:t>
      </w:r>
      <w:r>
        <w:rPr>
          <w:rFonts w:hint="eastAsia" w:ascii="宋体" w:hAnsi="宋体" w:eastAsia="宋体" w:cs="宋体"/>
          <w:color w:val="auto"/>
          <w:sz w:val="24"/>
          <w:szCs w:val="24"/>
          <w:lang w:eastAsia="zh-CN"/>
        </w:rPr>
        <w:t>协议</w:t>
      </w:r>
      <w:r>
        <w:rPr>
          <w:rFonts w:hint="eastAsia" w:ascii="宋体" w:hAnsi="宋体" w:eastAsia="宋体" w:cs="宋体"/>
          <w:color w:val="auto"/>
          <w:sz w:val="24"/>
          <w:szCs w:val="24"/>
        </w:rPr>
        <w:t>总价包括：人员工资薪酬、价格表所包含的福利、税金及管理费等</w:t>
      </w:r>
      <w:r>
        <w:rPr>
          <w:rFonts w:hint="eastAsia" w:ascii="宋体" w:hAnsi="宋体" w:eastAsia="宋体" w:cs="宋体"/>
          <w:color w:val="auto"/>
          <w:sz w:val="24"/>
          <w:szCs w:val="24"/>
          <w:highlight w:val="none"/>
        </w:rPr>
        <w:t>，本项目所需服务的全部费用。</w:t>
      </w:r>
    </w:p>
    <w:p w14:paraId="255D74F5">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lang w:eastAsia="zh-CN"/>
        </w:rPr>
        <w:t>协议</w:t>
      </w:r>
      <w:r>
        <w:rPr>
          <w:rFonts w:hint="eastAsia" w:ascii="宋体" w:hAnsi="宋体" w:eastAsia="宋体" w:cs="宋体"/>
          <w:color w:val="auto"/>
          <w:sz w:val="24"/>
          <w:szCs w:val="24"/>
          <w:highlight w:val="none"/>
        </w:rPr>
        <w:t>总价为包干价，</w:t>
      </w:r>
      <w:r>
        <w:rPr>
          <w:rFonts w:hint="eastAsia" w:ascii="宋体" w:hAnsi="宋体" w:eastAsia="宋体" w:cs="宋体"/>
          <w:color w:val="auto"/>
          <w:sz w:val="24"/>
          <w:szCs w:val="24"/>
          <w:highlight w:val="none"/>
          <w:lang w:eastAsia="zh-CN"/>
        </w:rPr>
        <w:t>协议</w:t>
      </w:r>
      <w:r>
        <w:rPr>
          <w:rFonts w:hint="eastAsia" w:ascii="宋体" w:hAnsi="宋体" w:eastAsia="宋体" w:cs="宋体"/>
          <w:color w:val="auto"/>
          <w:sz w:val="24"/>
          <w:szCs w:val="24"/>
          <w:highlight w:val="none"/>
        </w:rPr>
        <w:t>期内不受市场价格变化因素的影响。</w:t>
      </w:r>
    </w:p>
    <w:p w14:paraId="74B669F6">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三、付款方式</w:t>
      </w:r>
    </w:p>
    <w:p w14:paraId="3F4A491D">
      <w:pPr>
        <w:pStyle w:val="3"/>
        <w:keepNext w:val="0"/>
        <w:keepLines w:val="0"/>
        <w:pageBreakBefore w:val="0"/>
        <w:widowControl w:val="0"/>
        <w:kinsoku/>
        <w:wordWrap/>
        <w:overflowPunct/>
        <w:topLinePunct w:val="0"/>
        <w:bidi w:val="0"/>
        <w:snapToGrid/>
        <w:spacing w:afterAutospacing="0" w:line="360" w:lineRule="auto"/>
        <w:ind w:left="105" w:leftChars="50"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每月结算，一年分十二次结算合同所有费用。每月甲方组织验收，经综合验收合格后，由乙方向甲方提交付款申请书及相应清单、票据等报账资料，经甲方审定确认无误按照合同约定条款支付乙方所产生的费用。</w:t>
      </w:r>
    </w:p>
    <w:p w14:paraId="2B3CB507">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四、管理、服务人员配置标准</w:t>
      </w:r>
    </w:p>
    <w:p w14:paraId="268D5B98">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项目人员配备人数共</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人，其中：</w:t>
      </w:r>
    </w:p>
    <w:p w14:paraId="00A30BE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项目管理人员：</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w:t>
      </w:r>
    </w:p>
    <w:p w14:paraId="41F205B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安保人员：</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人（需持保安证）；</w:t>
      </w:r>
    </w:p>
    <w:p w14:paraId="31C4D07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保洁人员：</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w:t>
      </w:r>
    </w:p>
    <w:p w14:paraId="3FBF30B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维修人员：</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人（需持电工证）。</w:t>
      </w:r>
    </w:p>
    <w:p w14:paraId="0463BFBD">
      <w:pPr>
        <w:keepNext w:val="0"/>
        <w:keepLines w:val="0"/>
        <w:pageBreakBefore w:val="0"/>
        <w:widowControl w:val="0"/>
        <w:kinsoku/>
        <w:wordWrap/>
        <w:overflowPunct/>
        <w:topLinePunct w:val="0"/>
        <w:autoSpaceDE w:val="0"/>
        <w:autoSpaceDN w:val="0"/>
        <w:bidi w:val="0"/>
        <w:adjustRightInd w:val="0"/>
        <w:snapToGrid/>
        <w:spacing w:afterAutospacing="0" w:line="360" w:lineRule="auto"/>
        <w:jc w:val="left"/>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val="0"/>
          <w:bCs w:val="0"/>
          <w:sz w:val="24"/>
          <w:szCs w:val="24"/>
          <w:lang w:val="en-US" w:eastAsia="zh-CN"/>
        </w:rPr>
        <w:t>五、服务内容及要求</w:t>
      </w:r>
    </w:p>
    <w:p w14:paraId="011999CF">
      <w:pPr>
        <w:pStyle w:val="7"/>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服务要求：</w:t>
      </w:r>
    </w:p>
    <w:p w14:paraId="644681C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1.人员配置要求</w:t>
      </w:r>
    </w:p>
    <w:p w14:paraId="59A1150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现场需要按照校园面积和人数比配足配齐安保、保洁、维修人数，需要进行档案备案。各班组由班长和成员组成。安保人员年龄需在国家要求的年龄范围内且有保安证；维修人员需要有电工证；保洁人员需身体健康，形象端正。有服兵役经历、电梯管理员证，消防设施操作员等相关证者优先考虑。</w:t>
      </w:r>
    </w:p>
    <w:p w14:paraId="181C7C5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2.服务质量与要求</w:t>
      </w:r>
    </w:p>
    <w:p w14:paraId="41E6BA1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要求值班电话24小时畅通，及时响应学校服务需求，及时开展巡查值守工作，全面配合学校协调并完成相关工作任务。</w:t>
      </w:r>
    </w:p>
    <w:p w14:paraId="1415C4A0">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3.其他要求</w:t>
      </w:r>
    </w:p>
    <w:p w14:paraId="62E0A06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①需开展校园环境卫生清扫、落实垃圾分类制度、校园安全管理、卫生防疫工作、消防安全、校园周边秩序治理和维稳、校园内外交通秩序管理、机动车辆停放管理、各种档案资料管理、设施设备管理和维护维修、绿植养护、活动会场布置、会议接待及迎检等其他服务工作，做到制度规范全面、各类台账清晰，确保校园各方面运转正常，师生满意度高。</w:t>
      </w:r>
    </w:p>
    <w:p w14:paraId="57C0177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②后勤服务外包人员包含但不限于相关工具、设施设备，以及清洁用耗材、劳保、保险、受伤、人力等，由后勤服务外包公司公司承担费用。大额维修材料费、配件、公共设施维保费、设备年检费、采暖费用、水电费、燃气费等大额费用由学校承担。</w:t>
      </w:r>
    </w:p>
    <w:p w14:paraId="6E76042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③工作人员总数不少于24人。安保人员24小时在岗，其余工作人员每天工作时间最少8小时。周末及法定节假日需安排人员轮流值班。因学校需求特殊情况需加班，也可灵活调整工作时间。寒、暑假期间，可在保障学校正常运转的前提下，适当调整人员的值班时间。除寒暑假外，其余时间后勤服务人员工作需和学校教职工上、下班时间严格同步，确保师生服务和教育教学秩序工作得以安全有效开展。</w:t>
      </w:r>
    </w:p>
    <w:p w14:paraId="37FEA245">
      <w:pPr>
        <w:pStyle w:val="7"/>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服务内容及要求：</w:t>
      </w:r>
    </w:p>
    <w:p w14:paraId="1D39FC8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学校实行后勤服务外包核心意义是专业化保障校园高效运转、聚焦教育核心、降低管理成本，为师生创造安全有序的教学与生活环境。其核心服务围绕“保障校园运转、维护安全秩序、优化环境体验”而展开工作。各班组之间要做到齐心协力、相互配合、落实执行到位。具体服务内容及要求如下:</w:t>
      </w:r>
    </w:p>
    <w:p w14:paraId="7BB0BDD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一、卫生保洁服务</w:t>
      </w:r>
    </w:p>
    <w:p w14:paraId="3F76343F">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(一)服务区域</w:t>
      </w:r>
    </w:p>
    <w:p w14:paraId="63C79F9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1.室外:校园环境、操场、公共区域及各种辅助设施的清洁及日常保洁工作。</w:t>
      </w:r>
    </w:p>
    <w:p w14:paraId="125A973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2.室内:学校所有教学楼、办公楼、公共区域、玻璃门窗擦洗、桌椅套和窗帘等布艺类清洗保洁工作。</w:t>
      </w:r>
    </w:p>
    <w:p w14:paraId="0A8FC31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3.其他:办公区垃圾、宿舍垃圾、卫生间垃圾转运至校园垃圾台，及时转运垃圾至第三方垃圾清运公司的垃圾清运车，清出校园以及各项临时工作等。</w:t>
      </w:r>
    </w:p>
    <w:p w14:paraId="00D6224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(二)服务标准</w:t>
      </w:r>
    </w:p>
    <w:p w14:paraId="0E6B67A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楼内服务区域每天清洁地面、擦拭楼梯扶手、栏杆、台面、瓷砖墙面、垃圾桶，每周擦拭门窗，保持地面清洁无垃圾污渍，墙壁无浮灰、蜘蛛网、污迹；接待室、党员活动室、办公室、会议室等重要区域需每天清扫，保证随时能干净使用。</w:t>
      </w:r>
    </w:p>
    <w:p w14:paraId="7D00502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卫生间每天课间清扫，保证卫生间及水房地面无明显水渍，其余时间巡回清扫，保持厕所卫生清洁无异味，便池水池地面管道无积水、无堵塞，无垃圾存放现象。保洁用品摆放整齐有序3.需在保洁区域巡视，及时清扫捡拾杂物，确保路面场地绿化区无垃圾、杂物，无卫生死角。展板，宣传栏、景观小品、乒乓球台等设定期擦拭，达到无明显灰尘。墙面等及时清理、保持洁净无污渍。</w:t>
      </w:r>
    </w:p>
    <w:p w14:paraId="596F6D7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4.根据防疫规定及学校要求，定期对学校内进行通风消毒(包含卫生间和电梯)工作，并保存相关记录。</w:t>
      </w:r>
    </w:p>
    <w:p w14:paraId="093DFF36">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5.完善制度，建立各类台账记录，积极完成领导交办其他临时性工作等。</w:t>
      </w:r>
    </w:p>
    <w:p w14:paraId="2BDE2D1C">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二、维修</w:t>
      </w:r>
    </w:p>
    <w:p w14:paraId="4477EE9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(一)服务内容</w:t>
      </w:r>
    </w:p>
    <w:p w14:paraId="3FE4E2D3">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1.负责校内基础水电气暖正常运行和日常维护。</w:t>
      </w:r>
    </w:p>
    <w:p w14:paraId="2D08E5B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2.负责校园灯具、家具、门窗锁具、标识标牌、布衣悬挂、上下水电气暖路等的小型维修工作。</w:t>
      </w:r>
    </w:p>
    <w:p w14:paraId="1D4E0694">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3.全校日常水、电、气、暖、消防系统及设施设备间的巡查，发现问题及时上报，协助维保人员对专业设施设备进行维护保养工作。</w:t>
      </w:r>
    </w:p>
    <w:p w14:paraId="1DE5725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4.处理包括停电、水浸、恶劣天气、疫情防控、人员伤害等突发事件的应急处置急处置。</w:t>
      </w:r>
    </w:p>
    <w:p w14:paraId="472CA25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5.配合学校工程施工方临电的接送；同时对施工现场进行管理和监督。</w:t>
      </w:r>
    </w:p>
    <w:p w14:paraId="38B36BC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6.配合学校水电气暖设施设备质保期外的维修，产生的施工维修成本及设备更换费用由乙方上报维修方案。</w:t>
      </w:r>
    </w:p>
    <w:p w14:paraId="725B43F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(二)服务标准</w:t>
      </w:r>
    </w:p>
    <w:p w14:paraId="5BBB307F">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24小时维修值班，按作业指导标准进行设施设备的维护保养，水电暖气等运行正常，接到报修急修呼唤，快速内到达维修点、规范、安全、妥善处理。日常水电维修值班，接到维修处理派单24小时之内完成维修；小范围维修及时率达到100%。确保教育教学各类活动正常开展。完善制度，建立各类台账记录，积极完成领导交办的其他临时性工作等。</w:t>
      </w:r>
    </w:p>
    <w:p w14:paraId="6406D35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三、安全保卫服务</w:t>
      </w:r>
    </w:p>
    <w:p w14:paraId="3C132A3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(一)服务内容</w:t>
      </w:r>
    </w:p>
    <w:p w14:paraId="6FA9949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1.保证校园内及周边200米范围内安全和正常工作、生活秩序，做好协防保卫，做好车辆、车库、道路及安全秩序管理等工作。</w:t>
      </w:r>
    </w:p>
    <w:p w14:paraId="7C64A4C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2.保安年龄需不超过50岁，持保安证上岗，并实行全天候24小时值班制度。</w:t>
      </w:r>
    </w:p>
    <w:p w14:paraId="680F90B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3.协防设置门岗和巡逻岗，对外来人员，建立询问和登记制度，礼貌用语、文明用语、热情服务，按照采购人要求进行出入管理服务；</w:t>
      </w:r>
    </w:p>
    <w:p w14:paraId="7B77908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4.保证区域内安全秩序良好，道路通畅，引导指挥车辆停放有序。</w:t>
      </w:r>
    </w:p>
    <w:p w14:paraId="418E05E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5.根据采购人要求，服从总务处或后勤管理部门工作人员调配，做好各项活动的秩序维护工作；</w:t>
      </w:r>
    </w:p>
    <w:p w14:paraId="48FA944F">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6.制定安全管理服务预案，完善责任制，遇突发事件能应急处理。</w:t>
      </w:r>
    </w:p>
    <w:p w14:paraId="57671904">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7.能及时发现和处理各种事故隐患，确保不发生安全方面的问题，能迅速有效处置突发事件。</w:t>
      </w:r>
    </w:p>
    <w:p w14:paraId="2E681B2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8.对针对本区域的盗抢破坏等违法行为，能够积极应对，及时报警协助制止。</w:t>
      </w:r>
    </w:p>
    <w:p w14:paraId="6EC752A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9.遇有重要活动承担礼宾工作，精神饱满，举止得体。</w:t>
      </w:r>
    </w:p>
    <w:p w14:paraId="50980FE3">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10.出入口管理:核验进出人员(师生、访客、施工人员)身份，登记外来人员/车辆，禁止无关人员携带管制刀具等校园违禁品以及危险物品等入校。</w:t>
      </w:r>
    </w:p>
    <w:p w14:paraId="46C8A963">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11.校园巡逻:按规定路线和频次进行巡查，包含教学楼、部室(实验)楼、办公室、教工宿舍、操场、地库、充电桩、食堂、图书馆、报告厅、阶梯教室、垃圾台、设备间、暂不使用区域等重点区域，排查安全隐患。</w:t>
      </w:r>
    </w:p>
    <w:p w14:paraId="1F5552A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12.秩序维护:管控校园内车辆行驶/停放，维护上下学、集会等活动秩序，调解轻微纠纷。</w:t>
      </w:r>
    </w:p>
    <w:p w14:paraId="287FC7F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13.安全防范:监控安防设备(监控摄像头、报警装置)运行，处置突发安全事件(如防汛抗旱、火灾、滋扰、意外受伤)。</w:t>
      </w:r>
    </w:p>
    <w:p w14:paraId="76C53F6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14.物资与设施管理:协助看管校园公共物资，检查消防设施、门禁等安防设备，及时上报损坏情况。</w:t>
      </w:r>
    </w:p>
    <w:p w14:paraId="00523C5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15.做好校园消杀(包含紫外线及重点区域)工作，规范、苏熟练掌握和使用一键报警装置。</w:t>
      </w:r>
    </w:p>
    <w:p w14:paraId="488AC27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（二）服务执行标准</w:t>
      </w:r>
    </w:p>
    <w:p w14:paraId="0405D86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1.人员要求:持证上岗，着装统一规范，言行文明，熟悉校园布局和应急流程。</w:t>
      </w:r>
    </w:p>
    <w:p w14:paraId="6EE18ECC">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2.响应时效:出入口值守24小时不间断，访客登记规范，巡逻发现异常10分钟内到场处置，紧急事件5分钟内响应。</w:t>
      </w:r>
    </w:p>
    <w:p w14:paraId="6BA2F66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3.巡逻规范:每日巡逻不少于5次(重点时段如上下学加倍)，做好巡逻记录，隐患整改闭环率100%。</w:t>
      </w:r>
    </w:p>
    <w:p w14:paraId="75D969DD">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4.设备管理:监控设备完好率≥95%，消防设施每天检查至少1次，发现故障24小时内上报并跟进维修。</w:t>
      </w:r>
    </w:p>
    <w:p w14:paraId="20AF236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5.应急处置:制定火灾、反恐、防盗、突发疾病等应急预案，每学期至少参与1次应急演练，处置过程全程记录。</w:t>
      </w:r>
    </w:p>
    <w:p w14:paraId="2239457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6.协助护送学生上下学(重点时间和路段)；配合学校开展安全宣传教育活动；临时看管师生寄存的贵重物品及包裹等。</w:t>
      </w:r>
    </w:p>
    <w:p w14:paraId="4E42521B">
      <w:pPr>
        <w:pStyle w:val="3"/>
        <w:keepNext w:val="0"/>
        <w:keepLines w:val="0"/>
        <w:pageBreakBefore w:val="0"/>
        <w:widowControl w:val="0"/>
        <w:kinsoku/>
        <w:wordWrap/>
        <w:overflowPunct/>
        <w:topLinePunct w:val="0"/>
        <w:autoSpaceDE/>
        <w:autoSpaceDN/>
        <w:bidi w:val="0"/>
        <w:adjustRightInd/>
        <w:snapToGrid/>
        <w:spacing w:afterAutospacing="0" w:line="360" w:lineRule="auto"/>
        <w:ind w:left="0" w:leftChars="0"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7.完善制度，建立各类台账记录，积极完成领导交办的其他临时性工作等。</w:t>
      </w:r>
      <w:r>
        <w:rPr>
          <w:rFonts w:hint="eastAsia" w:ascii="宋体" w:hAnsi="宋体" w:eastAsia="宋体" w:cs="宋体"/>
          <w:b w:val="0"/>
          <w:bCs w:val="0"/>
          <w:sz w:val="24"/>
          <w:szCs w:val="24"/>
          <w:lang w:val="en-US" w:eastAsia="zh-CN"/>
        </w:rPr>
        <w:t>六、管理服务标准</w:t>
      </w:r>
    </w:p>
    <w:p w14:paraId="2907D3C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1.总体标准</w:t>
      </w:r>
    </w:p>
    <w:p w14:paraId="03DD8DFA">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1.1无因管理服务造成的安全事故、质量事故。</w:t>
      </w:r>
    </w:p>
    <w:p w14:paraId="058DDE65">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1.2服务的满意率达90%以上。</w:t>
      </w:r>
    </w:p>
    <w:p w14:paraId="3CE0CEE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1.3有效投诉处理率100%。</w:t>
      </w:r>
    </w:p>
    <w:p w14:paraId="6D2CFB5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1.4有效投诉率低于1%。</w:t>
      </w:r>
    </w:p>
    <w:p w14:paraId="549D774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1.5环境卫生达标率95%。</w:t>
      </w:r>
    </w:p>
    <w:p w14:paraId="70C6296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2.建筑物及构筑物养护、维修服务。</w:t>
      </w:r>
    </w:p>
    <w:p w14:paraId="13143E08">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七、双方的权利和义务</w:t>
      </w:r>
    </w:p>
    <w:p w14:paraId="7E173F9A">
      <w:pPr>
        <w:pStyle w:val="6"/>
        <w:keepNext w:val="0"/>
        <w:keepLines w:val="0"/>
        <w:pageBreakBefore w:val="0"/>
        <w:widowControl w:val="0"/>
        <w:kinsoku/>
        <w:wordWrap/>
        <w:overflowPunct/>
        <w:topLinePunct w:val="0"/>
        <w:bidi w:val="0"/>
        <w:snapToGrid/>
        <w:spacing w:afterAutospacing="0" w:line="360" w:lineRule="auto"/>
        <w:ind w:left="105" w:leftChars="50" w:firstLine="482" w:firstLineChars="200"/>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（一）甲方的权利和义务</w:t>
      </w:r>
    </w:p>
    <w:p w14:paraId="4587F7C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1.根据协议的约定，确定和调整派遣人员，</w:t>
      </w:r>
      <w:r>
        <w:rPr>
          <w:rFonts w:hint="eastAsia" w:ascii="宋体" w:hAnsi="宋体" w:eastAsia="宋体" w:cs="宋体"/>
          <w:b w:val="0"/>
          <w:color w:val="auto"/>
          <w:kern w:val="2"/>
          <w:sz w:val="24"/>
          <w:szCs w:val="24"/>
          <w:highlight w:val="none"/>
          <w:lang w:val="en-US" w:eastAsia="zh-CN" w:bidi="ar-SA"/>
        </w:rPr>
        <w:t>依照协议约定向乙方支付服务费及其他本协议约定应当由甲方承担的费用</w:t>
      </w:r>
      <w:r>
        <w:rPr>
          <w:rFonts w:hint="eastAsia" w:ascii="宋体" w:hAnsi="宋体" w:eastAsia="宋体" w:cs="宋体"/>
          <w:b w:val="0"/>
          <w:bCs w:val="0"/>
          <w:color w:val="auto"/>
          <w:kern w:val="2"/>
          <w:sz w:val="24"/>
          <w:szCs w:val="24"/>
          <w:highlight w:val="none"/>
          <w:lang w:val="en-US" w:eastAsia="zh-CN" w:bidi="ar-SA"/>
        </w:rPr>
        <w:t>。甲方延长工作时间或加班须征得乙方人员的确认同意，因工作需要，甲方可依法安排人员延长工作时间，休息日或节假日加班，产生的相关费用由甲方承担。</w:t>
      </w:r>
    </w:p>
    <w:p w14:paraId="7C00B5CD">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2.安排乙方派遣的服务人员在甲方的具体工作岗位，监督、检查、考核乙方派遣的服务人员完成工作的情况，并负责日常管理。</w:t>
      </w:r>
    </w:p>
    <w:p w14:paraId="463F3AA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3.甲方应为乙方派遣的管理、服务人员提供相应的办公条件及办公物品。所有用于甲方现场的工具、器械、耗材等，由甲方自行采购</w:t>
      </w:r>
    </w:p>
    <w:p w14:paraId="6148C21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乙方派遣人员发生工伤事故时，甲方应立即通知乙方，并协助乙方按《工伤保险条例》的规定办理申报和理赔事宜及善后的处理工作。甲方应向乙方提供工伤相关的证据资料，以便乙方向劳动及有关部门申报。工伤的医疗费需垫资的由甲方垫资处理。工伤事故处理过程中发生赔付以外的具有法律依据的相关合理费用（包括医疗、救护、交通等费用）由甲方承担。乙方派遣人员因工负伤属《工伤保险条例》规定的费用，除社保支出外，由甲方负责。超过工伤保险机构理赔范围依据国家和本省有关规定由企业承担部分由甲方承担。</w:t>
      </w:r>
    </w:p>
    <w:p w14:paraId="6689CCD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2" w:firstLineChars="200"/>
        <w:jc w:val="left"/>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（二）乙方的权利义务</w:t>
      </w:r>
    </w:p>
    <w:p w14:paraId="48548DF0">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1.乙方有权根据有关法律法规的规定及本协议约定，自行制定后勤服务保障相关制度。</w:t>
      </w:r>
    </w:p>
    <w:p w14:paraId="12395EBE">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2.按照本协议提供服务，派遣符合条件的派遣人员到甲方工作，确保服务人员具备相应资质（如安保人员持保安证、维修人员持电工证）。</w:t>
      </w:r>
    </w:p>
    <w:p w14:paraId="168CDFFD">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3.乙方应当与拟派遣的人员签订劳动或劳务合同，并负责合同的管理工作。甲方要求乙方更换人员，乙方应予接收并负责处理与劳动者之间的劳动/劳务关系。</w:t>
      </w:r>
    </w:p>
    <w:p w14:paraId="032F9528">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4.乙方人员发生工伤事故的，乙方接到甲方通知后，乙方按《工伤保险条例》的规定办理申报和理赔事宜。</w:t>
      </w:r>
    </w:p>
    <w:p w14:paraId="1CE3F780">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5.对服务过程中知悉的甲方商业秘密、内部信息承担保密义务，保密期限为本协议终止后3年。</w:t>
      </w:r>
    </w:p>
    <w:p w14:paraId="1E89F87D">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八、质量保证</w:t>
      </w:r>
    </w:p>
    <w:p w14:paraId="4C54C9E0">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1.乙方保证所供后勤保障期内的服务标准按照协议执行。</w:t>
      </w:r>
    </w:p>
    <w:p w14:paraId="00B2AD8A">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2.人员出现下列情形之一的，在甲方提供合法合理的书面处理证明的前提下，甲方可要求乙方更换人员：</w:t>
      </w:r>
    </w:p>
    <w:p w14:paraId="751F3073">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（1）人员在试用期间被证明不符合甲方的录用条件的； </w:t>
      </w:r>
    </w:p>
    <w:p w14:paraId="08C2F344">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（2）人员严重违反甲方或乙方的规章制度的； </w:t>
      </w:r>
    </w:p>
    <w:p w14:paraId="3BB3B383">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（3）人员严重失职，营私舞弊，给甲方造成重大损害的； </w:t>
      </w:r>
    </w:p>
    <w:p w14:paraId="29DAFCB5">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（4）人员同时与其他用人单位建立劳动关系，对完成甲方的工作任务造成严重影响，或者甲方提出，拒不改正的； </w:t>
      </w:r>
    </w:p>
    <w:p w14:paraId="0FD443D8">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（5）人员被查实在应聘时向甲方或乙方提供的个人资料是虚假的；</w:t>
      </w:r>
    </w:p>
    <w:p w14:paraId="6CCC09BD">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（6）人员被依法追究刑事责任的；</w:t>
      </w:r>
    </w:p>
    <w:p w14:paraId="1C4EB7CF">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（7）人员因本人原因以书面形式向甲方或乙方递交《辞职报告》的；</w:t>
      </w:r>
    </w:p>
    <w:p w14:paraId="06D61001">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九、违约责任</w:t>
      </w:r>
    </w:p>
    <w:p w14:paraId="6189049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（一）按《民法典》中的相关条款执行。</w:t>
      </w:r>
    </w:p>
    <w:p w14:paraId="3E2733F8">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（二）乙方提供的服务不符合本项目相关文件和本协议规定的，甲方有权拒绝，并且乙方须向甲方支付本协议总价款1%的违约金。</w:t>
      </w:r>
    </w:p>
    <w:p w14:paraId="1A1C7D2C">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三）乙方未能按照本协议约定时间提供服务或完成约定的项目服务内容的，从逾期之日起每日按本协议总价款0.5%的数额向甲方支付违约金；逾期10日以上的，甲方有权终止协议，由此造成的甲方经济损失由乙方承担。如因不可抗力或其他非乙方原因导致的延误，乙方不承担违约责任。</w:t>
      </w:r>
    </w:p>
    <w:p w14:paraId="4F1F4F8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（四）在本协议履行过程中，双方因违约或造成对方经济、社会效益等损失的应当赔偿。</w:t>
      </w:r>
    </w:p>
    <w:p w14:paraId="446CFB02">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十、保密条款</w:t>
      </w:r>
    </w:p>
    <w:p w14:paraId="074BF7D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一）乙方应遵守国家有关保密的法律法规和行业规定，并对甲方提供的资料负有保密义务。本保密义务自协议生效之日起至协议终止后五年内持续有效。未经甲方同意，保密人员不得将承接本项目各种信息和资料提供给其他单位和个人。如发生以上情况，甲方有权索赔。但是，若因法律强制要求披露信息，乙方可以在遵循法律法规的前提下披露相关信息，但需尽可能提前通知甲方。</w:t>
      </w:r>
    </w:p>
    <w:p w14:paraId="6E0E7FA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（二）本条款为独立条款，本协议的无效、变更、解除和终止均不影响本条款的效力。</w:t>
      </w:r>
    </w:p>
    <w:p w14:paraId="33C7486F">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十一、争议解决</w:t>
      </w:r>
    </w:p>
    <w:p w14:paraId="2BCEB79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本协议履行过程中发生的纠纷双方应协商解决。协商不成的，协议任何一方均有权向甲方所在地人民法院提起诉讼。</w:t>
      </w:r>
    </w:p>
    <w:p w14:paraId="78A00055">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十二、协议变更</w:t>
      </w:r>
    </w:p>
    <w:p w14:paraId="7B87768A">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在协议的执行期内，双方均不得随意变更或解除协议。如因项目需求情况发生变化，需要项目变更的，应双方协商后签订项目变更协议。</w:t>
      </w:r>
    </w:p>
    <w:p w14:paraId="5F74040E">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十三、协议生效</w:t>
      </w:r>
    </w:p>
    <w:p w14:paraId="1BF8951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本协议一式</w:t>
      </w:r>
      <w:r>
        <w:rPr>
          <w:rFonts w:hint="eastAsia" w:ascii="宋体" w:hAnsi="宋体" w:eastAsia="宋体" w:cs="宋体"/>
          <w:b w:val="0"/>
          <w:color w:val="auto"/>
          <w:kern w:val="2"/>
          <w:sz w:val="24"/>
          <w:szCs w:val="24"/>
          <w:highlight w:val="none"/>
          <w:u w:val="single"/>
          <w:lang w:val="en-US" w:eastAsia="zh-CN" w:bidi="ar-SA"/>
        </w:rPr>
        <w:t>肆份</w:t>
      </w:r>
      <w:r>
        <w:rPr>
          <w:rFonts w:hint="eastAsia" w:ascii="宋体" w:hAnsi="宋体" w:eastAsia="宋体" w:cs="宋体"/>
          <w:b w:val="0"/>
          <w:color w:val="auto"/>
          <w:kern w:val="2"/>
          <w:sz w:val="24"/>
          <w:szCs w:val="24"/>
          <w:highlight w:val="none"/>
          <w:lang w:val="en-US" w:eastAsia="zh-CN" w:bidi="ar-SA"/>
        </w:rPr>
        <w:t>，甲方持</w:t>
      </w:r>
      <w:r>
        <w:rPr>
          <w:rFonts w:hint="eastAsia" w:ascii="宋体" w:hAnsi="宋体" w:eastAsia="宋体" w:cs="宋体"/>
          <w:b w:val="0"/>
          <w:color w:val="auto"/>
          <w:kern w:val="2"/>
          <w:sz w:val="24"/>
          <w:szCs w:val="24"/>
          <w:highlight w:val="none"/>
          <w:u w:val="single"/>
          <w:lang w:val="en-US" w:eastAsia="zh-CN" w:bidi="ar-SA"/>
        </w:rPr>
        <w:t>贰份</w:t>
      </w:r>
      <w:r>
        <w:rPr>
          <w:rFonts w:hint="eastAsia" w:ascii="宋体" w:hAnsi="宋体" w:eastAsia="宋体" w:cs="宋体"/>
          <w:b w:val="0"/>
          <w:color w:val="auto"/>
          <w:kern w:val="2"/>
          <w:sz w:val="24"/>
          <w:szCs w:val="24"/>
          <w:highlight w:val="none"/>
          <w:lang w:val="en-US" w:eastAsia="zh-CN" w:bidi="ar-SA"/>
        </w:rPr>
        <w:t>，乙方持</w:t>
      </w:r>
      <w:r>
        <w:rPr>
          <w:rFonts w:hint="eastAsia" w:ascii="宋体" w:hAnsi="宋体" w:eastAsia="宋体" w:cs="宋体"/>
          <w:b w:val="0"/>
          <w:color w:val="auto"/>
          <w:kern w:val="2"/>
          <w:sz w:val="24"/>
          <w:szCs w:val="24"/>
          <w:highlight w:val="none"/>
          <w:u w:val="single"/>
          <w:lang w:val="en-US" w:eastAsia="zh-CN" w:bidi="ar-SA"/>
        </w:rPr>
        <w:t>贰份</w:t>
      </w:r>
      <w:r>
        <w:rPr>
          <w:rFonts w:hint="eastAsia" w:ascii="宋体" w:hAnsi="宋体" w:eastAsia="宋体" w:cs="宋体"/>
          <w:b w:val="0"/>
          <w:color w:val="auto"/>
          <w:kern w:val="2"/>
          <w:sz w:val="24"/>
          <w:szCs w:val="24"/>
          <w:highlight w:val="none"/>
          <w:lang w:val="en-US" w:eastAsia="zh-CN" w:bidi="ar-SA"/>
        </w:rPr>
        <w:t>，本协议双方签字盖章后生效，协议执行完毕后，自动失效。</w:t>
      </w:r>
    </w:p>
    <w:p w14:paraId="663CDDC8">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十四、其他事项</w:t>
      </w:r>
    </w:p>
    <w:p w14:paraId="1B2BC0B8">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协议未尽事宜，由双方协商确认后签订补充协议，与原协议具有同等法律效力。</w:t>
      </w:r>
    </w:p>
    <w:p w14:paraId="33534460">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p>
    <w:p w14:paraId="2BF9024C">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以下无正文</w:t>
      </w:r>
    </w:p>
    <w:p w14:paraId="22F155A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p>
    <w:p w14:paraId="7595285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p>
    <w:p w14:paraId="5CBCF28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甲 方 ( 盖 章 ) :             乙 方 ( 盖 章 ) :                     </w:t>
      </w:r>
    </w:p>
    <w:p w14:paraId="611D7D75">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法定代表或委托代理人：        法定代表或委托代理人：</w:t>
      </w:r>
    </w:p>
    <w:p w14:paraId="6B316A6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通信地址：                    通信地址：</w:t>
      </w:r>
    </w:p>
    <w:p w14:paraId="53417D4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邮政编码：                    邮政编码：</w:t>
      </w:r>
    </w:p>
    <w:p w14:paraId="20F056B0">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电  话：                      电  话：</w:t>
      </w:r>
    </w:p>
    <w:p w14:paraId="6AFE503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开户行：                      开户行： </w:t>
      </w:r>
    </w:p>
    <w:p w14:paraId="14771DFE">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账  号：                      账  号：              </w:t>
      </w:r>
    </w:p>
    <w:p w14:paraId="5696A582">
      <w:pPr>
        <w:pStyle w:val="2"/>
        <w:pageBreakBefore w:val="0"/>
        <w:kinsoku/>
        <w:overflowPunct/>
        <w:bidi w:val="0"/>
        <w:snapToGrid/>
        <w:spacing w:before="0" w:after="0" w:afterAutospacing="0" w:line="360" w:lineRule="auto"/>
        <w:ind w:left="105" w:leftChars="50" w:firstLine="480" w:firstLineChars="200"/>
        <w:textAlignment w:val="auto"/>
        <w:rPr>
          <w:rFonts w:hint="eastAsia" w:ascii="宋体" w:hAnsi="宋体" w:eastAsia="宋体" w:cs="宋体"/>
          <w:sz w:val="24"/>
          <w:szCs w:val="24"/>
        </w:rPr>
      </w:pPr>
      <w:r>
        <w:rPr>
          <w:rFonts w:hint="eastAsia" w:ascii="宋体" w:hAnsi="宋体" w:eastAsia="宋体" w:cs="宋体"/>
          <w:b w:val="0"/>
          <w:color w:val="auto"/>
          <w:kern w:val="2"/>
          <w:sz w:val="24"/>
          <w:szCs w:val="24"/>
          <w:highlight w:val="none"/>
          <w:lang w:val="en-US" w:eastAsia="zh-CN" w:bidi="ar-SA"/>
        </w:rPr>
        <w:t>签订日期：   年  月  日        签订日期：   年  月   日</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46DE1"/>
    <w:rsid w:val="0FD970D1"/>
    <w:rsid w:val="1B175C99"/>
    <w:rsid w:val="1C4D73AF"/>
    <w:rsid w:val="1E0F6C5F"/>
    <w:rsid w:val="5A31485E"/>
    <w:rsid w:val="78046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仿宋"/>
      <w:b/>
      <w:sz w:val="24"/>
      <w:szCs w:val="32"/>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6">
    <w:name w:val="List Paragraph"/>
    <w:basedOn w:val="1"/>
    <w:qFormat/>
    <w:uiPriority w:val="0"/>
    <w:pPr>
      <w:ind w:left="720"/>
      <w:contextualSpacing/>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5176</Words>
  <Characters>5277</Characters>
  <Lines>0</Lines>
  <Paragraphs>0</Paragraphs>
  <TotalTime>0</TotalTime>
  <ScaleCrop>false</ScaleCrop>
  <LinksUpToDate>false</LinksUpToDate>
  <CharactersWithSpaces>5865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2026-05-12T08:13:00Z</dcterms:created>
  <dc:creator>张寒冰</dc:creator>
  <cp:lastModifiedBy>Aurora. ʚྀིɞ</cp:lastModifiedBy>
  <dcterms:modified xsi:type="dcterms:W3CDTF">2026-05-26T06:43:10Z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FFF85B1D900647BBB5E94494D5F28B6E_11</vt:lpwstr>
  </property>
  <property fmtid="{D5CDD505-2E9C-101B-9397-08002B2CF9AE}" pid="4" name="KSOTemplateDocerSaveRecord">
    <vt:lpwstr>eyJoZGlkIjoiYzljMzU4MWIzYzRjYWUwMzliYmRhNjY3YTdmNzFhNDciLCJ1c2VySWQiOiIxMjkxOTM5MTk5In0=</vt:lpwstr>
  </property>
</Properties>
</file>