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工程质量保证措施</w:t>
      </w:r>
      <w:bookmarkStart w:id="0" w:name="_GoBack"/>
      <w:bookmarkEnd w:id="0"/>
    </w:p>
    <w:p w14:paraId="251E0698">
      <w:r>
        <w:rPr>
          <w:rFonts w:hint="eastAsia"/>
        </w:rPr>
        <w:t>供应商依据磋商文件及详细评审标准，进行编制，内容自拟。</w:t>
      </w:r>
    </w:p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4C2F0F9C"/>
    <w:rsid w:val="54AD4EBC"/>
    <w:rsid w:val="5F4568B4"/>
    <w:rsid w:val="7764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2026-08-24T08:42:57Z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