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版本号：GD-2026-01520260512001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陕西省河湖管理与保护7部技术标准编制项目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GD-2026-015</w:t>
      </w:r>
      <w:r>
        <w:br/>
      </w:r>
      <w:r>
        <w:br/>
      </w:r>
      <w:r>
        <w:br/>
      </w:r>
    </w:p>
    <w:p>
      <w:pPr>
        <w:pStyle w:val="null3"/>
        <w:jc w:val="center"/>
        <w:outlineLvl w:val="2"/>
      </w:pPr>
      <w:r>
        <w:rPr>
          <w:rFonts w:ascii="仿宋_GB2312" w:hAnsi="仿宋_GB2312" w:cs="仿宋_GB2312" w:eastAsia="仿宋_GB2312"/>
          <w:sz w:val="28"/>
          <w:b/>
        </w:rPr>
        <w:t>陕西省水资源与河库调度中心</w:t>
      </w:r>
    </w:p>
    <w:p>
      <w:pPr>
        <w:pStyle w:val="null3"/>
        <w:jc w:val="center"/>
        <w:outlineLvl w:val="2"/>
      </w:pPr>
      <w:r>
        <w:rPr>
          <w:rFonts w:ascii="仿宋_GB2312" w:hAnsi="仿宋_GB2312" w:cs="仿宋_GB2312" w:eastAsia="仿宋_GB2312"/>
          <w:sz w:val="28"/>
          <w:b/>
        </w:rPr>
        <w:t>广达咨询有限公司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广达咨询有限公司</w:t>
      </w:r>
      <w:r>
        <w:rPr>
          <w:rFonts w:ascii="仿宋_GB2312" w:hAnsi="仿宋_GB2312" w:cs="仿宋_GB2312" w:eastAsia="仿宋_GB2312"/>
        </w:rPr>
        <w:t>（以下简称“代理机构”）受</w:t>
      </w:r>
      <w:r>
        <w:rPr>
          <w:rFonts w:ascii="仿宋_GB2312" w:hAnsi="仿宋_GB2312" w:cs="仿宋_GB2312" w:eastAsia="仿宋_GB2312"/>
        </w:rPr>
        <w:t>陕西省水资源与河库调度中心</w:t>
      </w:r>
      <w:r>
        <w:rPr>
          <w:rFonts w:ascii="仿宋_GB2312" w:hAnsi="仿宋_GB2312" w:cs="仿宋_GB2312" w:eastAsia="仿宋_GB2312"/>
        </w:rPr>
        <w:t>委托，拟对</w:t>
      </w:r>
      <w:r>
        <w:rPr>
          <w:rFonts w:ascii="仿宋_GB2312" w:hAnsi="仿宋_GB2312" w:cs="仿宋_GB2312" w:eastAsia="仿宋_GB2312"/>
        </w:rPr>
        <w:t>陕西省河湖管理与保护7部技术标准编制项目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GD-2026-015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陕西省河湖管理与保护7部技术标准编制项目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法规与技术规范，系统分析我省河湖长制管理、水域岸线空间管控、涉河建设项目监管、陕西省河湖管理与保护7部技术标准，核心是落实国家河湖管理保护相关政策要求，聚焦全省河湖管护工作中的实际难题，强化技术支撑，全面规范河湖管理各项核心工作，提升全省河湖管护的规范化、标准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w:t>
      </w:r>
    </w:p>
    <w:p>
      <w:pPr>
        <w:pStyle w:val="null3"/>
      </w:pPr>
      <w:r>
        <w:rPr>
          <w:rFonts w:ascii="仿宋_GB2312" w:hAnsi="仿宋_GB2312" w:cs="仿宋_GB2312" w:eastAsia="仿宋_GB2312"/>
        </w:rPr>
        <w:t>3、税收缴纳证明：提供2025年1月至今已缴纳的1个月纳税证明或完税证明，依法免税的单位应提供相关证明材料。供应商需在项目电子化交易系统中按要求上传相应证明文件并进行电子签章。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1月至今已缴纳的1个月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前三年无重大违法记录声明：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rFonts w:ascii="仿宋_GB2312" w:hAnsi="仿宋_GB2312" w:cs="仿宋_GB2312" w:eastAsia="仿宋_GB2312"/>
        </w:rPr>
        <w:t>7、法定代表人身份证明和法定代表人授权委托书：法定代表人直接负责投标的，须在磋商文件中提供法定代表人身份证明；法定代表人授权代表负责投标的，须在磋商文件中提供法定代表人身份证明和法定代表人授权委托书。非法人单位参照执行。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p>
      <w:pPr>
        <w:pStyle w:val="null3"/>
      </w:pPr>
      <w:r>
        <w:rPr>
          <w:rFonts w:ascii="仿宋_GB2312" w:hAnsi="仿宋_GB2312" w:cs="仿宋_GB2312" w:eastAsia="仿宋_GB2312"/>
        </w:rPr>
        <w:t>9、是否接受联合体投标：本项目接受联合体投标，供应商需在项目电子化交易系统中按要求上传相应证明文件并进行电子签章。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陕西省水资源与河库调度中心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陕西省水资源与河库调度中心经办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广达咨询有限公司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陕西省西安市雁塔区陕西省西安市曲江新区旺座曲江K座1801室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刘亮芳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18700667746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代理服务费收费标准：代理服务费收费标准：参照国家计委计价格（2002）1980号文件规定标准，以预算金额为基数计算，由成交供应商支付代理服务费。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陕西省水资源与河库调度中心</w:t>
      </w:r>
      <w:r>
        <w:rPr>
          <w:rFonts w:ascii="仿宋_GB2312" w:hAnsi="仿宋_GB2312" w:cs="仿宋_GB2312" w:eastAsia="仿宋_GB2312"/>
        </w:rPr>
        <w:t>和</w:t>
      </w:r>
      <w:r>
        <w:rPr>
          <w:rFonts w:ascii="仿宋_GB2312" w:hAnsi="仿宋_GB2312" w:cs="仿宋_GB2312" w:eastAsia="仿宋_GB2312"/>
        </w:rPr>
        <w:t>广达咨询有限公司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陕西省水资源与河库调度中心</w:t>
      </w:r>
      <w:r>
        <w:rPr>
          <w:rFonts w:ascii="仿宋_GB2312" w:hAnsi="仿宋_GB2312" w:cs="仿宋_GB2312" w:eastAsia="仿宋_GB2312"/>
        </w:rPr>
        <w:t>负责解释。除上述磋商文件内容，其他内容由</w:t>
      </w:r>
      <w:r>
        <w:rPr>
          <w:rFonts w:ascii="仿宋_GB2312" w:hAnsi="仿宋_GB2312" w:cs="仿宋_GB2312" w:eastAsia="仿宋_GB2312"/>
        </w:rPr>
        <w:t>广达咨询有限公司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陕西省水资源与河库调度中心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广达咨询有限公司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供应商所供服务及成果文件须满足行业及国家相关规定标准。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广达咨询有限公司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广达咨询有限公司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联系人：刘亮芳</w:t>
      </w:r>
    </w:p>
    <w:p>
      <w:pPr>
        <w:pStyle w:val="null3"/>
      </w:pPr>
      <w:r>
        <w:rPr>
          <w:rFonts w:ascii="仿宋_GB2312" w:hAnsi="仿宋_GB2312" w:cs="仿宋_GB2312" w:eastAsia="仿宋_GB2312"/>
        </w:rPr>
        <w:t>联系电话：18700667746</w:t>
      </w:r>
    </w:p>
    <w:p>
      <w:pPr>
        <w:pStyle w:val="null3"/>
      </w:pPr>
      <w:r>
        <w:rPr>
          <w:rFonts w:ascii="仿宋_GB2312" w:hAnsi="仿宋_GB2312" w:cs="仿宋_GB2312" w:eastAsia="仿宋_GB2312"/>
        </w:rPr>
        <w:t>地址：陕西省西安市曲江新区旺座曲江K座1801室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依据法规与技术规范，系统分析我省河湖长制管理、水域岸线空间管控、涉河建设项目监管、陕西省河湖管理与保护7部技术标准，核心是落实国家河湖管理保护相关政策要求，聚焦全省河湖管护工作中的实际难题，强化技术支撑，全面规范河湖管理各项核心工作，提升全省河湖管护的规范化、标准化水平。7部技术标准具体内容如下： （一）《陕西省河道采砂年度实施方案编制规程（试行）》：核心目的是规范河道采砂年度实施方案编制，实现采砂管理的精细化和针对性。内容涵盖总则、资料收集、上年度采砂实施评估、砂石补给分析、现状可采砂量、本年度采砂区及控制开采指标、开采、运输道路及设备、筛分加工场布置、弃料处置、采砂现场监管、砂石运输及销售监管、河道恢复与验收等13个环节， 明确各环节技术要求，为采砂实施方案编制提供全面指导。 （二）《陕西省河道采砂电子监管与河道修复技术规程（试行）》：旨在明确电子监管和河道恢复的内容、措施及标准，确保电子监管与河道修复顺利实施。内容包括总则，监管区域，监管措施，电子围栏设计，电子围栏的管控，采砂量的数字化监管，超范围、超深度报警，现场监管及远程监管方案，河道复平内容及要求，河道生态修复内容及技术要求等11个环节，构建“监管+修复”一体化技术体系，推动采砂管理智能化、生态化。 （三）《陕西省河道管理范围内建设项目投运检验技术规程（试行）》：重点解决当前涉河建设项目投入运行前的检验空白的问题。内容涵盖目的、适用范围、工作原则、资料收集、现场勘测、建设项目涉河建设内容、建设项目与河道空间关系、建设项目现状与许可的建设方案对比分析、建设项目防洪影响补救措施落实情况、建设项目变化对河道行洪和防洪及第三人合法水事权益的影响分析、建设项目投入运行的可行性与合规性分析、建设项目存在的主要问题及整改意见、检验意见及结论、附件等14个环节，规范投运检验流程，保障涉河建设项目合规安全运行。 （四）《陕西省河湖“四乱”认定与整改技术导则（试行）》：针对河湖“四乱”问题认定依据不足、标准过粗、缺乏技术规范等问题。内容包括目的、适用范围及基本原则、相关资料收集、现场勘测、必要的分析计算、成果要求等6个环节，明确“四乱”认定标准与整改技术要求，确保问题认定精准、整改到位。 （五）《陕西省河湖岸线保护与管控技术规程（试行）》：聚焦全省河道保护范围管控要求不明确、贴线开发等问题，强化水域岸线空间管控。内容涵盖总则、岸线的确定范围、岸线空间管控的总体要求、岸线利用的基本要求、岸线利用项目的技术要求、必要的分析计算、相关图件及成果等7个环节，明确岸线保护与利用的技术标准，守护岸线生态安全。 （六）《幸福河湖建设技术导则（试行）》：破解当前幸福河湖建设标准不明确、建设边界模糊等问题，确保建设工作兼顾生态健康与社会服务功能，实现市县“水清、岸绿、景美、人和”的目标。内容包括总则、适用范围、定义与术语、建设标准、前期工作、达标评估、验收等7个环节，明确幸福河湖建设的技术路径与评价标准，推动幸福河湖建设规范化、标准化。 （七）《河湖长制管理规范（试行）》规范河长履职行为，明确河长履职范畴、巡河内容及频次，建立问题解决效果评价标准与考核机制。内容涵盖总则、组织体系与职责分工、组织体系与职责分工、常态化巡查管护、问题排查整治、水资源与生态管控、监督考核与问责、信息化与智慧管理、宣传教育与长效机制等9个环节，健全河湖长制运行管理体系，提升河长履职效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陕西省河湖管理与保护7部技术标准编制项目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标的名称：陕西省河湖管理与保护7部技术标准编制项目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30"/>
            </w:pPr>
            <w:r>
              <w:rPr>
                <w:rFonts w:ascii="仿宋_GB2312" w:hAnsi="仿宋_GB2312" w:cs="仿宋_GB2312" w:eastAsia="仿宋_GB2312"/>
              </w:rPr>
              <w:t>采购服务内容：</w:t>
            </w:r>
          </w:p>
          <w:p>
            <w:pPr>
              <w:pStyle w:val="null3"/>
              <w:spacing w:before="105" w:after="30"/>
            </w:pPr>
            <w:r>
              <w:rPr>
                <w:rFonts w:ascii="仿宋_GB2312" w:hAnsi="仿宋_GB2312" w:cs="仿宋_GB2312" w:eastAsia="仿宋_GB2312"/>
              </w:rPr>
              <w:t>一、项目概况</w:t>
            </w:r>
          </w:p>
          <w:p>
            <w:pPr>
              <w:pStyle w:val="null3"/>
              <w:spacing w:before="105" w:after="30"/>
              <w:ind w:firstLine="400"/>
            </w:pPr>
            <w:r>
              <w:rPr>
                <w:rFonts w:ascii="仿宋_GB2312" w:hAnsi="仿宋_GB2312" w:cs="仿宋_GB2312" w:eastAsia="仿宋_GB2312"/>
              </w:rPr>
              <w:t>陕西省河湖管理与保护</w:t>
            </w:r>
            <w:r>
              <w:rPr>
                <w:rFonts w:ascii="仿宋_GB2312" w:hAnsi="仿宋_GB2312" w:cs="仿宋_GB2312" w:eastAsia="仿宋_GB2312"/>
              </w:rPr>
              <w:t>7</w:t>
            </w:r>
            <w:r>
              <w:rPr>
                <w:rFonts w:ascii="仿宋_GB2312" w:hAnsi="仿宋_GB2312" w:cs="仿宋_GB2312" w:eastAsia="仿宋_GB2312"/>
              </w:rPr>
              <w:t>部技术标准，核心是落实国家河湖管理保护相关政策要求，聚焦全省河湖管护工作中的实际难题，强化技术支撑，全面规范河湖管理各项核心工作，提升全省河湖管护的规范化、标准化水平。</w:t>
            </w:r>
            <w:r>
              <w:rPr>
                <w:rFonts w:ascii="仿宋_GB2312" w:hAnsi="仿宋_GB2312" w:cs="仿宋_GB2312" w:eastAsia="仿宋_GB2312"/>
              </w:rPr>
              <w:t>7</w:t>
            </w:r>
            <w:r>
              <w:rPr>
                <w:rFonts w:ascii="仿宋_GB2312" w:hAnsi="仿宋_GB2312" w:cs="仿宋_GB2312" w:eastAsia="仿宋_GB2312"/>
              </w:rPr>
              <w:t>部技术标准具体内容如下：</w:t>
            </w:r>
          </w:p>
          <w:p>
            <w:pPr>
              <w:pStyle w:val="null3"/>
              <w:spacing w:before="105" w:after="30"/>
              <w:ind w:firstLine="400"/>
            </w:pPr>
            <w:r>
              <w:rPr>
                <w:rFonts w:ascii="仿宋_GB2312" w:hAnsi="仿宋_GB2312" w:cs="仿宋_GB2312" w:eastAsia="仿宋_GB2312"/>
              </w:rPr>
              <w:t>（一）《陕西省河道采砂年度实施方案编制规程（试行）》：核心目的是规范河道采砂年度实施方案编制，实现采砂管理的精细化和针对性。内容涵盖总则、资料收集、上年度采砂实施评估、砂石补给分析、现状可采砂量、本年度采砂区及控制开采指标、开采、运输道路及设备、筛分加工场布置、弃料处置、采砂现场监管、砂石运输及销售监管、河道恢复与验收等</w:t>
            </w:r>
            <w:r>
              <w:rPr>
                <w:rFonts w:ascii="仿宋_GB2312" w:hAnsi="仿宋_GB2312" w:cs="仿宋_GB2312" w:eastAsia="仿宋_GB2312"/>
              </w:rPr>
              <w:t>13</w:t>
            </w:r>
            <w:r>
              <w:rPr>
                <w:rFonts w:ascii="仿宋_GB2312" w:hAnsi="仿宋_GB2312" w:cs="仿宋_GB2312" w:eastAsia="仿宋_GB2312"/>
              </w:rPr>
              <w:t>个环节，明确各环节技术要求，为采砂实施方案编制提供全面指导。</w:t>
            </w:r>
          </w:p>
          <w:p>
            <w:pPr>
              <w:pStyle w:val="null3"/>
              <w:spacing w:before="105" w:after="30"/>
              <w:ind w:firstLine="400"/>
            </w:pPr>
            <w:r>
              <w:rPr>
                <w:rFonts w:ascii="仿宋_GB2312" w:hAnsi="仿宋_GB2312" w:cs="仿宋_GB2312" w:eastAsia="仿宋_GB2312"/>
              </w:rPr>
              <w:t>（二）《陕西省河道采砂电子监管与河道修复技术规程（试行）》：旨在明确电子监管和河道恢复的内容、措施及标准，确保电子监管与河道修复顺利实施。内容包括总则，监管区域，监管措施，电子围栏设计，电子围栏的管控，采砂量的数字化监管，超范围、超深度报警，现场监管及远程监管方案，河道复平内容及要求，河道生态修复内容及技术要求等</w:t>
            </w:r>
            <w:r>
              <w:rPr>
                <w:rFonts w:ascii="仿宋_GB2312" w:hAnsi="仿宋_GB2312" w:cs="仿宋_GB2312" w:eastAsia="仿宋_GB2312"/>
              </w:rPr>
              <w:t>11</w:t>
            </w:r>
            <w:r>
              <w:rPr>
                <w:rFonts w:ascii="仿宋_GB2312" w:hAnsi="仿宋_GB2312" w:cs="仿宋_GB2312" w:eastAsia="仿宋_GB2312"/>
              </w:rPr>
              <w:t>个环节，构建“监管</w:t>
            </w:r>
            <w:r>
              <w:rPr>
                <w:rFonts w:ascii="仿宋_GB2312" w:hAnsi="仿宋_GB2312" w:cs="仿宋_GB2312" w:eastAsia="仿宋_GB2312"/>
              </w:rPr>
              <w:t>+</w:t>
            </w:r>
            <w:r>
              <w:rPr>
                <w:rFonts w:ascii="仿宋_GB2312" w:hAnsi="仿宋_GB2312" w:cs="仿宋_GB2312" w:eastAsia="仿宋_GB2312"/>
              </w:rPr>
              <w:t>修复”一体化技术体系，推动采砂管理智能化、生态化。</w:t>
            </w:r>
          </w:p>
          <w:p>
            <w:pPr>
              <w:pStyle w:val="null3"/>
              <w:spacing w:before="105" w:after="30"/>
              <w:ind w:firstLine="400"/>
            </w:pPr>
            <w:r>
              <w:rPr>
                <w:rFonts w:ascii="仿宋_GB2312" w:hAnsi="仿宋_GB2312" w:cs="仿宋_GB2312" w:eastAsia="仿宋_GB2312"/>
              </w:rPr>
              <w:t>（三）《陕西省河道管理范围内建设项目投运检验技术规程（试行）》：重点解决当前涉河建设项目投入运行前的检验空白的问题。内容涵盖目的、适用范围、工作原则、资料收集、现场勘测、建设项目涉河建设内容、建设项目与河道空间关系、建设项目现状与许可的建设方案对比分析、建设项目防洪影响补救措施落实情况、建设项目变化对河道行洪和防洪及第三人合法水事权益的影响分析、建设项目投入运行的可行性与合规性分析、建设项目存在的主要问题及整改意见、检验意见及结论、附件等</w:t>
            </w:r>
            <w:r>
              <w:rPr>
                <w:rFonts w:ascii="仿宋_GB2312" w:hAnsi="仿宋_GB2312" w:cs="仿宋_GB2312" w:eastAsia="仿宋_GB2312"/>
              </w:rPr>
              <w:t>14</w:t>
            </w:r>
            <w:r>
              <w:rPr>
                <w:rFonts w:ascii="仿宋_GB2312" w:hAnsi="仿宋_GB2312" w:cs="仿宋_GB2312" w:eastAsia="仿宋_GB2312"/>
              </w:rPr>
              <w:t>个环节，规范投运检验流程，保障涉河建设项目合规安全运行。</w:t>
            </w:r>
          </w:p>
          <w:p>
            <w:pPr>
              <w:pStyle w:val="null3"/>
              <w:spacing w:before="105" w:after="30"/>
              <w:ind w:firstLine="400"/>
            </w:pPr>
            <w:r>
              <w:rPr>
                <w:rFonts w:ascii="仿宋_GB2312" w:hAnsi="仿宋_GB2312" w:cs="仿宋_GB2312" w:eastAsia="仿宋_GB2312"/>
              </w:rPr>
              <w:t>（四）《陕西省河湖“四乱”认定与整改技术导则（试行）》：针对河湖“四乱”问题认定依据不足、标准过粗、缺乏技术规范等问题。内容包括目的、适用范围及基本原则、相关资料收集、现场勘测、必要的分析计算、成果要求等</w:t>
            </w:r>
            <w:r>
              <w:rPr>
                <w:rFonts w:ascii="仿宋_GB2312" w:hAnsi="仿宋_GB2312" w:cs="仿宋_GB2312" w:eastAsia="仿宋_GB2312"/>
              </w:rPr>
              <w:t>6</w:t>
            </w:r>
            <w:r>
              <w:rPr>
                <w:rFonts w:ascii="仿宋_GB2312" w:hAnsi="仿宋_GB2312" w:cs="仿宋_GB2312" w:eastAsia="仿宋_GB2312"/>
              </w:rPr>
              <w:t>个环节，明确“四乱”认定标准与整改技术要求，确保问题认定精准、整改到位。</w:t>
            </w:r>
          </w:p>
          <w:p>
            <w:pPr>
              <w:pStyle w:val="null3"/>
              <w:spacing w:before="105" w:after="30"/>
              <w:ind w:firstLine="400"/>
            </w:pPr>
            <w:r>
              <w:rPr>
                <w:rFonts w:ascii="仿宋_GB2312" w:hAnsi="仿宋_GB2312" w:cs="仿宋_GB2312" w:eastAsia="仿宋_GB2312"/>
              </w:rPr>
              <w:t>（五）《陕西省河湖岸线保护与管控技术规程（试行）》：聚焦全省河道保护范围管控要求不明确、贴线开发等问题，强化水域岸线空间管控。内容涵盖总则、岸线的确定范围、岸线空间管控的总体要求、岸线利用的基本要求、岸线利用项目的技术要求、必要的分析计算、相关图件及成果等</w:t>
            </w:r>
            <w:r>
              <w:rPr>
                <w:rFonts w:ascii="仿宋_GB2312" w:hAnsi="仿宋_GB2312" w:cs="仿宋_GB2312" w:eastAsia="仿宋_GB2312"/>
              </w:rPr>
              <w:t>7</w:t>
            </w:r>
            <w:r>
              <w:rPr>
                <w:rFonts w:ascii="仿宋_GB2312" w:hAnsi="仿宋_GB2312" w:cs="仿宋_GB2312" w:eastAsia="仿宋_GB2312"/>
              </w:rPr>
              <w:t>个环节，明确岸线保护与利用的技术标准，守护岸线生态安全。</w:t>
            </w:r>
          </w:p>
          <w:p>
            <w:pPr>
              <w:pStyle w:val="null3"/>
              <w:spacing w:before="105" w:after="30"/>
              <w:ind w:firstLine="400"/>
            </w:pPr>
            <w:r>
              <w:rPr>
                <w:rFonts w:ascii="仿宋_GB2312" w:hAnsi="仿宋_GB2312" w:cs="仿宋_GB2312" w:eastAsia="仿宋_GB2312"/>
              </w:rPr>
              <w:t>（六）《幸福河湖建设技术导则（试行）》：破解当前幸福河湖建设标准不明确、建设边界模糊等问题，确保建设工作兼顾生态健康与社会服务功能，实现市县“水清、岸绿、景美、人和”的目标。内容包括总则、适用范围、定义与术语、建设标准、前期工作、达标评估、验收等</w:t>
            </w:r>
            <w:r>
              <w:rPr>
                <w:rFonts w:ascii="仿宋_GB2312" w:hAnsi="仿宋_GB2312" w:cs="仿宋_GB2312" w:eastAsia="仿宋_GB2312"/>
              </w:rPr>
              <w:t>7</w:t>
            </w:r>
            <w:r>
              <w:rPr>
                <w:rFonts w:ascii="仿宋_GB2312" w:hAnsi="仿宋_GB2312" w:cs="仿宋_GB2312" w:eastAsia="仿宋_GB2312"/>
              </w:rPr>
              <w:t>个环节，明确幸福河湖建设的技术路径与评价标准，推动幸福河湖建设规范化、标准化。</w:t>
            </w:r>
          </w:p>
          <w:p>
            <w:pPr>
              <w:pStyle w:val="null3"/>
              <w:spacing w:before="105" w:after="30"/>
              <w:ind w:firstLine="400"/>
            </w:pPr>
            <w:r>
              <w:rPr>
                <w:rFonts w:ascii="仿宋_GB2312" w:hAnsi="仿宋_GB2312" w:cs="仿宋_GB2312" w:eastAsia="仿宋_GB2312"/>
              </w:rPr>
              <w:t>（七）《河湖长制管理规范（试行）》规范河长履职行为，明确河长履职范畴、巡河内容及频次，建立问题解决效果评价标准与考核机制。内容涵盖总则、组织体系与职责分工、组织体系与职责分工、常态化巡查管护、问题排查整治、水资源与生态管控、监督考核与问责、信息化与智慧管理、宣传教育与长效机制等</w:t>
            </w:r>
            <w:r>
              <w:rPr>
                <w:rFonts w:ascii="仿宋_GB2312" w:hAnsi="仿宋_GB2312" w:cs="仿宋_GB2312" w:eastAsia="仿宋_GB2312"/>
              </w:rPr>
              <w:t>9</w:t>
            </w:r>
            <w:r>
              <w:rPr>
                <w:rFonts w:ascii="仿宋_GB2312" w:hAnsi="仿宋_GB2312" w:cs="仿宋_GB2312" w:eastAsia="仿宋_GB2312"/>
              </w:rPr>
              <w:t>个环节，健全河湖长制运行管理体系，提升河长履职效能。</w:t>
            </w:r>
          </w:p>
          <w:p>
            <w:pPr>
              <w:pStyle w:val="null3"/>
              <w:spacing w:before="105" w:after="30"/>
            </w:pPr>
            <w:r>
              <w:rPr>
                <w:rFonts w:ascii="仿宋_GB2312" w:hAnsi="仿宋_GB2312" w:cs="仿宋_GB2312" w:eastAsia="仿宋_GB2312"/>
              </w:rPr>
              <w:t>二、项目实施必要性论述</w:t>
            </w:r>
          </w:p>
          <w:p>
            <w:pPr>
              <w:pStyle w:val="null3"/>
              <w:spacing w:before="105" w:after="30"/>
              <w:ind w:firstLine="400"/>
            </w:pPr>
            <w:r>
              <w:rPr>
                <w:rFonts w:ascii="仿宋_GB2312" w:hAnsi="仿宋_GB2312" w:cs="仿宋_GB2312" w:eastAsia="仿宋_GB2312"/>
              </w:rPr>
              <w:t>陕西省河湖管理与保护技术标准体系建设项目的立项，是基于落实国家政策要求、解决本省河湖管理实际间题、聚焦推动河湖长制深入实施、纵深推进河湖库“清四乱”常态化规范化、河道采砂标准化管理、幸福河湖建设、河湖水域岸线空间管控、涉河建设项目与文体活动技术管理等多方面实际需要的必要结果。</w:t>
            </w:r>
          </w:p>
          <w:p>
            <w:pPr>
              <w:pStyle w:val="null3"/>
              <w:spacing w:before="105" w:after="30"/>
            </w:pPr>
            <w:r>
              <w:rPr>
                <w:rFonts w:ascii="仿宋_GB2312" w:hAnsi="仿宋_GB2312" w:cs="仿宋_GB2312" w:eastAsia="仿宋_GB2312"/>
              </w:rPr>
              <w:t>三、实施依据</w:t>
            </w:r>
          </w:p>
          <w:p>
            <w:pPr>
              <w:pStyle w:val="null3"/>
              <w:spacing w:before="105" w:after="30"/>
              <w:ind w:firstLine="400"/>
            </w:pPr>
            <w:r>
              <w:rPr>
                <w:rFonts w:ascii="仿宋_GB2312" w:hAnsi="仿宋_GB2312" w:cs="仿宋_GB2312" w:eastAsia="仿宋_GB2312"/>
              </w:rPr>
              <w:t>陕西省人民政府关于陕西省水网建设规划的批复（陕政函〔</w:t>
            </w:r>
            <w:r>
              <w:rPr>
                <w:rFonts w:ascii="仿宋_GB2312" w:hAnsi="仿宋_GB2312" w:cs="仿宋_GB2312" w:eastAsia="仿宋_GB2312"/>
              </w:rPr>
              <w:t>2023</w:t>
            </w:r>
            <w:r>
              <w:rPr>
                <w:rFonts w:ascii="仿宋_GB2312" w:hAnsi="仿宋_GB2312" w:cs="仿宋_GB2312" w:eastAsia="仿宋_GB2312"/>
              </w:rPr>
              <w:t>〕</w:t>
            </w:r>
            <w:r>
              <w:rPr>
                <w:rFonts w:ascii="仿宋_GB2312" w:hAnsi="仿宋_GB2312" w:cs="仿宋_GB2312" w:eastAsia="仿宋_GB2312"/>
              </w:rPr>
              <w:t>181</w:t>
            </w:r>
            <w:r>
              <w:rPr>
                <w:rFonts w:ascii="仿宋_GB2312" w:hAnsi="仿宋_GB2312" w:cs="仿宋_GB2312" w:eastAsia="仿宋_GB2312"/>
              </w:rPr>
              <w:t>号）</w:t>
            </w:r>
            <w:r>
              <w:rPr>
                <w:rFonts w:ascii="仿宋_GB2312" w:hAnsi="仿宋_GB2312" w:cs="仿宋_GB2312" w:eastAsia="仿宋_GB2312"/>
              </w:rPr>
              <w:t>、陕西省水利厅关于印发《</w:t>
            </w:r>
            <w:r>
              <w:rPr>
                <w:rFonts w:ascii="仿宋_GB2312" w:hAnsi="仿宋_GB2312" w:cs="仿宋_GB2312" w:eastAsia="仿宋_GB2312"/>
              </w:rPr>
              <w:t>2024</w:t>
            </w:r>
            <w:r>
              <w:rPr>
                <w:rFonts w:ascii="仿宋_GB2312" w:hAnsi="仿宋_GB2312" w:cs="仿宋_GB2312" w:eastAsia="仿宋_GB2312"/>
              </w:rPr>
              <w:t>年水利工作要点》的通知（陕水发〔</w:t>
            </w:r>
            <w:r>
              <w:rPr>
                <w:rFonts w:ascii="仿宋_GB2312" w:hAnsi="仿宋_GB2312" w:cs="仿宋_GB2312" w:eastAsia="仿宋_GB2312"/>
              </w:rPr>
              <w:t>2024</w:t>
            </w: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号）、</w:t>
            </w:r>
            <w:r>
              <w:rPr>
                <w:rFonts w:ascii="仿宋_GB2312" w:hAnsi="仿宋_GB2312" w:cs="仿宋_GB2312" w:eastAsia="仿宋_GB2312"/>
              </w:rPr>
              <w:t>2024</w:t>
            </w:r>
            <w:r>
              <w:rPr>
                <w:rFonts w:ascii="仿宋_GB2312" w:hAnsi="仿宋_GB2312" w:cs="仿宋_GB2312" w:eastAsia="仿宋_GB2312"/>
              </w:rPr>
              <w:t>年陕西省水利工作会议精神</w:t>
            </w:r>
            <w:r>
              <w:rPr>
                <w:rFonts w:ascii="仿宋_GB2312" w:hAnsi="仿宋_GB2312" w:cs="仿宋_GB2312" w:eastAsia="仿宋_GB2312"/>
              </w:rPr>
              <w:t>。</w:t>
            </w:r>
          </w:p>
          <w:p>
            <w:pPr>
              <w:pStyle w:val="null3"/>
              <w:spacing w:before="105" w:after="30"/>
            </w:pPr>
            <w:r>
              <w:rPr>
                <w:rFonts w:ascii="仿宋_GB2312" w:hAnsi="仿宋_GB2312" w:cs="仿宋_GB2312" w:eastAsia="仿宋_GB2312"/>
              </w:rPr>
              <w:t>四、工作任务</w:t>
            </w:r>
          </w:p>
          <w:p>
            <w:pPr>
              <w:pStyle w:val="null3"/>
              <w:spacing w:before="105" w:after="30"/>
            </w:pPr>
            <w:r>
              <w:rPr>
                <w:rFonts w:ascii="仿宋_GB2312" w:hAnsi="仿宋_GB2312" w:cs="仿宋_GB2312" w:eastAsia="仿宋_GB2312"/>
              </w:rPr>
              <w:t>（一）工作范围</w:t>
            </w:r>
          </w:p>
          <w:p>
            <w:pPr>
              <w:pStyle w:val="null3"/>
              <w:spacing w:before="105" w:after="30"/>
            </w:pPr>
            <w:r>
              <w:rPr>
                <w:rFonts w:ascii="仿宋_GB2312" w:hAnsi="仿宋_GB2312" w:cs="仿宋_GB2312" w:eastAsia="仿宋_GB2312"/>
              </w:rPr>
              <w:t xml:space="preserve">    </w:t>
            </w:r>
            <w:r>
              <w:rPr>
                <w:rFonts w:ascii="仿宋_GB2312" w:hAnsi="仿宋_GB2312" w:cs="仿宋_GB2312" w:eastAsia="仿宋_GB2312"/>
              </w:rPr>
              <w:t>本项目的工作范围为编制陕西省河湖管理与保护技术标准体系建设任务确定的</w:t>
            </w:r>
            <w:r>
              <w:rPr>
                <w:rFonts w:ascii="仿宋_GB2312" w:hAnsi="仿宋_GB2312" w:cs="仿宋_GB2312" w:eastAsia="仿宋_GB2312"/>
              </w:rPr>
              <w:t>7</w:t>
            </w:r>
            <w:r>
              <w:rPr>
                <w:rFonts w:ascii="仿宋_GB2312" w:hAnsi="仿宋_GB2312" w:cs="仿宋_GB2312" w:eastAsia="仿宋_GB2312"/>
              </w:rPr>
              <w:t>部省级行业技术标准，涵盖河湖长制管理、水域岸线空间管控、涉河建设项目监管、纵深推进“清四乱”常态化、幸福河湖建设、采砂管理等</w:t>
            </w:r>
            <w:r>
              <w:rPr>
                <w:rFonts w:ascii="仿宋_GB2312" w:hAnsi="仿宋_GB2312" w:cs="仿宋_GB2312" w:eastAsia="仿宋_GB2312"/>
              </w:rPr>
              <w:t>6</w:t>
            </w:r>
            <w:r>
              <w:rPr>
                <w:rFonts w:ascii="仿宋_GB2312" w:hAnsi="仿宋_GB2312" w:cs="仿宋_GB2312" w:eastAsia="仿宋_GB2312"/>
              </w:rPr>
              <w:t>大领域。</w:t>
            </w:r>
          </w:p>
          <w:p>
            <w:pPr>
              <w:pStyle w:val="null3"/>
              <w:spacing w:before="105" w:after="30"/>
            </w:pPr>
            <w:r>
              <w:rPr>
                <w:rFonts w:ascii="仿宋_GB2312" w:hAnsi="仿宋_GB2312" w:cs="仿宋_GB2312" w:eastAsia="仿宋_GB2312"/>
              </w:rPr>
              <w:t>（二）</w:t>
            </w:r>
            <w:r>
              <w:rPr>
                <w:rFonts w:ascii="仿宋_GB2312" w:hAnsi="仿宋_GB2312" w:cs="仿宋_GB2312" w:eastAsia="仿宋_GB2312"/>
              </w:rPr>
              <w:t>服务期限</w:t>
            </w:r>
          </w:p>
          <w:p>
            <w:pPr>
              <w:pStyle w:val="null3"/>
              <w:spacing w:before="105" w:after="30"/>
              <w:ind w:firstLine="400"/>
            </w:pPr>
            <w:r>
              <w:rPr>
                <w:rFonts w:ascii="仿宋_GB2312" w:hAnsi="仿宋_GB2312" w:cs="仿宋_GB2312" w:eastAsia="仿宋_GB2312"/>
              </w:rPr>
              <w:t>合同签订后至</w:t>
            </w:r>
            <w:r>
              <w:rPr>
                <w:rFonts w:ascii="仿宋_GB2312" w:hAnsi="仿宋_GB2312" w:cs="仿宋_GB2312" w:eastAsia="仿宋_GB2312"/>
              </w:rPr>
              <w:t>2026</w:t>
            </w:r>
            <w:r>
              <w:rPr>
                <w:rFonts w:ascii="仿宋_GB2312" w:hAnsi="仿宋_GB2312" w:cs="仿宋_GB2312" w:eastAsia="仿宋_GB2312"/>
              </w:rPr>
              <w:t>年</w:t>
            </w:r>
            <w:r>
              <w:rPr>
                <w:rFonts w:ascii="仿宋_GB2312" w:hAnsi="仿宋_GB2312" w:cs="仿宋_GB2312" w:eastAsia="仿宋_GB2312"/>
              </w:rPr>
              <w:t>10</w:t>
            </w:r>
            <w:r>
              <w:rPr>
                <w:rFonts w:ascii="仿宋_GB2312" w:hAnsi="仿宋_GB2312" w:cs="仿宋_GB2312" w:eastAsia="仿宋_GB2312"/>
              </w:rPr>
              <w:t>月</w:t>
            </w:r>
            <w:r>
              <w:rPr>
                <w:rFonts w:ascii="仿宋_GB2312" w:hAnsi="仿宋_GB2312" w:cs="仿宋_GB2312" w:eastAsia="仿宋_GB2312"/>
              </w:rPr>
              <w:t>15</w:t>
            </w:r>
            <w:r>
              <w:rPr>
                <w:rFonts w:ascii="仿宋_GB2312" w:hAnsi="仿宋_GB2312" w:cs="仿宋_GB2312" w:eastAsia="仿宋_GB2312"/>
              </w:rPr>
              <w:t>日</w:t>
            </w:r>
            <w:r>
              <w:rPr>
                <w:rFonts w:ascii="仿宋_GB2312" w:hAnsi="仿宋_GB2312" w:cs="仿宋_GB2312" w:eastAsia="仿宋_GB2312"/>
              </w:rPr>
              <w:t>。</w:t>
            </w:r>
          </w:p>
          <w:p>
            <w:pPr>
              <w:pStyle w:val="null3"/>
              <w:spacing w:before="105" w:after="30"/>
            </w:pPr>
            <w:r>
              <w:rPr>
                <w:rFonts w:ascii="仿宋_GB2312" w:hAnsi="仿宋_GB2312" w:cs="仿宋_GB2312" w:eastAsia="仿宋_GB2312"/>
              </w:rPr>
              <w:t>（</w:t>
            </w:r>
            <w:r>
              <w:rPr>
                <w:rFonts w:ascii="仿宋_GB2312" w:hAnsi="仿宋_GB2312" w:cs="仿宋_GB2312" w:eastAsia="仿宋_GB2312"/>
              </w:rPr>
              <w:t>三</w:t>
            </w:r>
            <w:r>
              <w:rPr>
                <w:rFonts w:ascii="仿宋_GB2312" w:hAnsi="仿宋_GB2312" w:cs="仿宋_GB2312" w:eastAsia="仿宋_GB2312"/>
              </w:rPr>
              <w:t>）主要任务</w:t>
            </w:r>
          </w:p>
          <w:p>
            <w:pPr>
              <w:pStyle w:val="null3"/>
              <w:spacing w:before="105" w:after="30"/>
              <w:ind w:firstLine="400"/>
            </w:pPr>
            <w:r>
              <w:rPr>
                <w:rFonts w:ascii="仿宋_GB2312" w:hAnsi="仿宋_GB2312" w:cs="仿宋_GB2312" w:eastAsia="仿宋_GB2312"/>
              </w:rPr>
              <w:t xml:space="preserve"> 本项目的核心目标是构建全省统一，科学规范的河湖管理与保护技术标准体系，解决当前无标准可依，河湖管理与保护技术不足的问题。通过制定河湖长制管理、水域岸线空间管控、涉河项目监管、纵深推进“清四乱”常态化规范化、幸福河湖建设、采砂管理等</w:t>
            </w:r>
            <w:r>
              <w:rPr>
                <w:rFonts w:ascii="仿宋_GB2312" w:hAnsi="仿宋_GB2312" w:cs="仿宋_GB2312" w:eastAsia="仿宋_GB2312"/>
              </w:rPr>
              <w:t>6</w:t>
            </w:r>
            <w:r>
              <w:rPr>
                <w:rFonts w:ascii="仿宋_GB2312" w:hAnsi="仿宋_GB2312" w:cs="仿宋_GB2312" w:eastAsia="仿宋_GB2312"/>
              </w:rPr>
              <w:t>大领域</w:t>
            </w:r>
            <w:r>
              <w:rPr>
                <w:rFonts w:ascii="仿宋_GB2312" w:hAnsi="仿宋_GB2312" w:cs="仿宋_GB2312" w:eastAsia="仿宋_GB2312"/>
              </w:rPr>
              <w:t>7</w:t>
            </w:r>
            <w:r>
              <w:rPr>
                <w:rFonts w:ascii="仿宋_GB2312" w:hAnsi="仿宋_GB2312" w:cs="仿宋_GB2312" w:eastAsia="仿宋_GB2312"/>
              </w:rPr>
              <w:t>部技术标准，实现河湖水域岸线空间利用与防洪安全、生态保护的深度协调，全面保证河势稳定、防洪安全、供水安全及基础设施运行安全，建立比较完善的河湖管护技术标准体系。</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1</w:t>
            </w:r>
            <w:r>
              <w:rPr>
                <w:rFonts w:ascii="仿宋_GB2312" w:hAnsi="仿宋_GB2312" w:cs="仿宋_GB2312" w:eastAsia="仿宋_GB2312"/>
              </w:rPr>
              <w:t>）：依据国家和陕西省有关河道采砂管理、防洪安全、生态保护及砂石资源利用等法规要求，立足全省河道采砂管理实际，编制《河道采砂年度实施方案编制导则》。该导则旨在全面规范河道采砂实施方案的编制内容与技术要求，提升采砂计划编制及实施管理的规范化水平，为全省河道采砂依法、有序、安全、绿色实施提供技术支撑。</w:t>
            </w:r>
          </w:p>
          <w:p>
            <w:pPr>
              <w:pStyle w:val="null3"/>
              <w:spacing w:before="105" w:after="30"/>
              <w:ind w:firstLine="400"/>
            </w:pPr>
            <w:r>
              <w:rPr>
                <w:rFonts w:ascii="仿宋_GB2312" w:hAnsi="仿宋_GB2312" w:cs="仿宋_GB2312" w:eastAsia="仿宋_GB2312"/>
              </w:rPr>
              <w:t>导则编制内容主要包括：总则、基本资料、采砂实施方案、采砂作业方式、采砂作业管理、报告编制要求等方面。</w:t>
            </w:r>
          </w:p>
          <w:p>
            <w:pPr>
              <w:pStyle w:val="null3"/>
              <w:spacing w:before="105" w:after="30"/>
              <w:ind w:firstLine="400"/>
            </w:pPr>
            <w:r>
              <w:rPr>
                <w:rFonts w:ascii="仿宋_GB2312" w:hAnsi="仿宋_GB2312" w:cs="仿宋_GB2312" w:eastAsia="仿宋_GB2312"/>
              </w:rPr>
              <w:t>具体工作包括：系统调研陕西省主要河流河道采砂管理现状，梳理年度采砂实施方案编制和执行过程中存在的主要问题；结合不同河流类型、砂石资源条件、防洪安全要求和生态保护需求，明确年度采砂方案的编制内容、技术方法和控制指标；组织专家论证，广泛征求省级相关管理部门及市县水利部门意见，完成导则文本起草、修改完善及报批全过程服务，最终形成符合陕西省实际、具有指导性和可操作性的技术导则文本。</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2</w:t>
            </w:r>
            <w:r>
              <w:rPr>
                <w:rFonts w:ascii="仿宋_GB2312" w:hAnsi="仿宋_GB2312" w:cs="仿宋_GB2312" w:eastAsia="仿宋_GB2312"/>
              </w:rPr>
              <w:t>）：依据国家和陕西省有关河道采砂管理、数字化监管、河道修复及生态保护等法规要求，立足全省河道采砂监管与河道修复实际情况，编制《河道采砂电子监管与河道修复技术导则》。该导则旨在规范河道采砂电子监管、现场管理和采后修复技术要求，提升采砂活动全过程监管能力和河道生态恢复水平，为河道采砂规范管理、河势稳定提供技术支撑。</w:t>
            </w:r>
          </w:p>
          <w:p>
            <w:pPr>
              <w:pStyle w:val="null3"/>
              <w:spacing w:before="105" w:after="30"/>
              <w:ind w:firstLine="400"/>
            </w:pPr>
            <w:r>
              <w:rPr>
                <w:rFonts w:ascii="仿宋_GB2312" w:hAnsi="仿宋_GB2312" w:cs="仿宋_GB2312" w:eastAsia="仿宋_GB2312"/>
              </w:rPr>
              <w:t>导则编制内容主要包括：总则、基本要求、监管范围、电子监管技术要求、采砂过程监管与预警处置；河道修复规划与设计、采砂后评估与验收等环节的技术要求。</w:t>
            </w:r>
          </w:p>
          <w:p>
            <w:pPr>
              <w:pStyle w:val="null3"/>
              <w:spacing w:before="105" w:after="30"/>
              <w:ind w:firstLine="400"/>
            </w:pPr>
            <w:r>
              <w:rPr>
                <w:rFonts w:ascii="仿宋_GB2312" w:hAnsi="仿宋_GB2312" w:cs="仿宋_GB2312" w:eastAsia="仿宋_GB2312"/>
              </w:rPr>
              <w:t>具体工作包括：系统调研陕西省河道采砂电子监管和采后河道修复现状，梳理当前采砂监管、数字化监控、预警处置和修复验收中存在的主要问题；结合不同河流类型、采砂方式和管理需求，明确电子监管措施、河道修复与验收等技术内容；组织专家论证，广泛征求省级相关管理部门及市县水利部门意见，完成导则文本起草、修改完善及报批全过程服务，最终形成符合陕西省实际、具有指导性和可操作性的技术导则文本。</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依据国家和陕西省有关河道管理、防洪安全、生态保护及河湖资源利用等法规要求，立足全省涉河建设项目监管实际，编制《陕西省河道管理范围内建设项目投运检验技术规程（试行）》。该规程旨在全面规范涉河建设项目投运检验工作内容与技术要求，提升项目投运检验及行业监管规范化水平，为全省涉河建设项目合法合规投运、河道安全管控与生态保护提供技术支撑。</w:t>
            </w:r>
          </w:p>
          <w:p>
            <w:pPr>
              <w:pStyle w:val="null3"/>
              <w:spacing w:before="105" w:after="30"/>
              <w:ind w:firstLine="400"/>
            </w:pPr>
            <w:r>
              <w:rPr>
                <w:rFonts w:ascii="仿宋_GB2312" w:hAnsi="仿宋_GB2312" w:cs="仿宋_GB2312" w:eastAsia="仿宋_GB2312"/>
              </w:rPr>
              <w:t>规程编制内容主要包括：总则、资料收集、现场勘测、建设项目涉河内容核查、项目现状与许可的建设方案对比分析、防洪影响补救措施落实情况、项目变化对行洪影响研判、项目投入运行的可行性与合规性分析、建设项目存在的主要问题及问题整改、检验意见、结论等方面。</w:t>
            </w:r>
          </w:p>
          <w:p>
            <w:pPr>
              <w:pStyle w:val="null3"/>
              <w:spacing w:before="105" w:after="30"/>
              <w:ind w:firstLine="400"/>
            </w:pPr>
            <w:r>
              <w:rPr>
                <w:rFonts w:ascii="仿宋_GB2312" w:hAnsi="仿宋_GB2312" w:cs="仿宋_GB2312" w:eastAsia="仿宋_GB2312"/>
              </w:rPr>
              <w:t>具体工作包括：梳理当前涉河建设项目投运检验存在的盲区及痛点，系统调研全省涉河建设项目投运检验现状监管盲区与现存突出问题；结合河道行洪安全、河势稳定及生态保护要求，明确投运检验工作内容、技术方法与管控要点；组织专家论证，广泛征求省市县水利管理部门意见，完成规程起草、修改完善及报批全流程工作，最终形成贴合陕西省实际、具备指导性与可操作性的规范文本。</w:t>
            </w:r>
            <w:r>
              <w:rPr>
                <w:rFonts w:ascii="仿宋_GB2312" w:hAnsi="仿宋_GB2312" w:cs="仿宋_GB2312" w:eastAsia="仿宋_GB2312"/>
              </w:rPr>
              <w:t xml:space="preserve">   </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4</w:t>
            </w:r>
            <w:r>
              <w:rPr>
                <w:rFonts w:ascii="仿宋_GB2312" w:hAnsi="仿宋_GB2312" w:cs="仿宋_GB2312" w:eastAsia="仿宋_GB2312"/>
              </w:rPr>
              <w:t>）：依据国家及陕西省河湖运行管理相关法规政策，立足全省河湖“清四乱”工作实际，编制《陕西省河湖“四乱”认定与整改技术导则（试行）》。导则旨在规范河湖“四乱”问题认定与整改过程中的资料收集、现场勘测、分析计算及整改方案等技术标准，为河湖“四乱”问题认定整改提供技术支撑，推进河湖“清四乱”常态化规范化。</w:t>
            </w:r>
          </w:p>
          <w:p>
            <w:pPr>
              <w:pStyle w:val="null3"/>
              <w:spacing w:before="105" w:after="30"/>
              <w:ind w:firstLine="400"/>
            </w:pPr>
            <w:r>
              <w:rPr>
                <w:rFonts w:ascii="仿宋_GB2312" w:hAnsi="仿宋_GB2312" w:cs="仿宋_GB2312" w:eastAsia="仿宋_GB2312"/>
              </w:rPr>
              <w:t>导则核心内容包含六大板块：目的、适用范围及基本原则、相关资料收集、现场勘测、必要的分析计算、成果要求，全程保障技术规范、实操性强。</w:t>
            </w:r>
          </w:p>
          <w:p>
            <w:pPr>
              <w:pStyle w:val="null3"/>
              <w:spacing w:before="105" w:after="30"/>
              <w:ind w:firstLine="400"/>
            </w:pPr>
            <w:r>
              <w:rPr>
                <w:rFonts w:ascii="仿宋_GB2312" w:hAnsi="仿宋_GB2312" w:cs="仿宋_GB2312" w:eastAsia="仿宋_GB2312"/>
              </w:rPr>
              <w:t>具体工作：系统调研陕北、关中及陕南河湖“四乱”问题认定与整改工作现状，分析当前认定与整改中存在的技术问题；结合不同河流、地域及“四乱”等特点，明确河湖“四乱”认定与整改技术指标；组织专家论证，广泛征求省级相关部门及市县水利部门意见；完成规程文本起草、修改完善及报批全过程服务，最终形成符合陕西省实际、具有指导性和约束力的技术规程文本。</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5</w:t>
            </w:r>
            <w:r>
              <w:rPr>
                <w:rFonts w:ascii="仿宋_GB2312" w:hAnsi="仿宋_GB2312" w:cs="仿宋_GB2312" w:eastAsia="仿宋_GB2312"/>
              </w:rPr>
              <w:t>）：依据国家和陕西省相关法规要求，立足全省河湖岸线保护与管控实际，编制《陕西省河湖岸线保护与管控技术规程（试行）》。该规程旨在全面规范全省河湖岸线的划定、保护与管控工作，为维护河湖健康生命、提升区域水生态安全保障能力提供有力技术支撑。</w:t>
            </w:r>
          </w:p>
          <w:p>
            <w:pPr>
              <w:pStyle w:val="null3"/>
              <w:spacing w:before="105" w:after="30"/>
              <w:ind w:firstLine="400"/>
            </w:pPr>
            <w:r>
              <w:rPr>
                <w:rFonts w:ascii="仿宋_GB2312" w:hAnsi="仿宋_GB2312" w:cs="仿宋_GB2312" w:eastAsia="仿宋_GB2312"/>
              </w:rPr>
              <w:t>规程编制内容主要包括：总则、岸线范围确定、岸线空间管控总体要求、岸线利用的基本要求、岸线利用项目的技术要求等。规程应技术体系完整、可操作性强。</w:t>
            </w:r>
          </w:p>
          <w:p>
            <w:pPr>
              <w:pStyle w:val="null3"/>
              <w:spacing w:before="105" w:after="30"/>
              <w:ind w:firstLine="400"/>
            </w:pPr>
            <w:r>
              <w:rPr>
                <w:rFonts w:ascii="仿宋_GB2312" w:hAnsi="仿宋_GB2312" w:cs="仿宋_GB2312" w:eastAsia="仿宋_GB2312"/>
              </w:rPr>
              <w:t>具体工作包括：系统调研陕西省黄河、长江两大流域典型河湖岸线现状，分析当前保护与管控中存在的主要技术问题；结合不同水系特点，明确岸线边界划定方法与管控技术指标；组织专家论证，广泛征求省级相关部门及市县水利部门意见；完成规程文本起草、修改完善及报批全过程服务，最终形成符合陕西省实际、具有指导性和约束力的技术规程文本。</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6</w:t>
            </w:r>
            <w:r>
              <w:rPr>
                <w:rFonts w:ascii="仿宋_GB2312" w:hAnsi="仿宋_GB2312" w:cs="仿宋_GB2312" w:eastAsia="仿宋_GB2312"/>
              </w:rPr>
              <w:t>）：《陕西省幸福河湖建设技术导则（试行）》</w:t>
            </w:r>
          </w:p>
          <w:p>
            <w:pPr>
              <w:pStyle w:val="null3"/>
              <w:spacing w:before="105" w:after="30"/>
              <w:ind w:firstLine="400"/>
            </w:pPr>
            <w:r>
              <w:rPr>
                <w:rFonts w:ascii="仿宋_GB2312" w:hAnsi="仿宋_GB2312" w:cs="仿宋_GB2312" w:eastAsia="仿宋_GB2312"/>
              </w:rPr>
              <w:t>依据国家和陕西省相关法规要求，立足全省幸福河湖建设实际，编制《陕西省幸福河湖建设技术导则（试行）》。该导则旨在通过规定具体的技术指标和验收标准，能够保证幸福河湖建设在水安全保障、水质提升、生态修复等方面达到一定的质量水平。</w:t>
            </w:r>
          </w:p>
          <w:p>
            <w:pPr>
              <w:pStyle w:val="null3"/>
              <w:spacing w:before="105" w:after="30"/>
              <w:ind w:firstLine="400"/>
            </w:pPr>
            <w:r>
              <w:rPr>
                <w:rFonts w:ascii="仿宋_GB2312" w:hAnsi="仿宋_GB2312" w:cs="仿宋_GB2312" w:eastAsia="仿宋_GB2312"/>
              </w:rPr>
              <w:t>导则编制内容主要包括：总则、适用范围、定义与术语、建设标准、前期工作、达标评估、验收要求等规程，应技术体系完整、可操作性强。</w:t>
            </w:r>
          </w:p>
          <w:p>
            <w:pPr>
              <w:pStyle w:val="null3"/>
              <w:spacing w:before="105" w:after="30"/>
              <w:ind w:firstLine="400"/>
            </w:pPr>
            <w:r>
              <w:rPr>
                <w:rFonts w:ascii="仿宋_GB2312" w:hAnsi="仿宋_GB2312" w:cs="仿宋_GB2312" w:eastAsia="仿宋_GB2312"/>
              </w:rPr>
              <w:t>具体工作包括：系统调研陕西省黄河、长江两大流域典型地区当前幸福河湖建设存在的问题，收集监管需求及实操难点，梳理核心问题，规定申报幸福河湖建设项目的各项技术指标，明确项目建设前期需要履行的各项手续及办理材料，明确项目建成后需满足的技术标准，规定幸福河湖验收的流程及技术要求。组织专家论证，广泛征求省级相关部门及市县水利部门意见；完成导则文本起草、修改完善及报批全过程服务，最终形成符合陕西省实际、具有指导性的技术导则文本。</w:t>
            </w:r>
          </w:p>
          <w:p>
            <w:pPr>
              <w:pStyle w:val="null3"/>
              <w:spacing w:before="105" w:after="30"/>
              <w:ind w:firstLine="400"/>
            </w:pPr>
            <w:r>
              <w:rPr>
                <w:rFonts w:ascii="仿宋_GB2312" w:hAnsi="仿宋_GB2312" w:cs="仿宋_GB2312" w:eastAsia="仿宋_GB2312"/>
              </w:rPr>
              <w:t>任务（</w:t>
            </w:r>
            <w:r>
              <w:rPr>
                <w:rFonts w:ascii="仿宋_GB2312" w:hAnsi="仿宋_GB2312" w:cs="仿宋_GB2312" w:eastAsia="仿宋_GB2312"/>
              </w:rPr>
              <w:t>7</w:t>
            </w:r>
            <w:r>
              <w:rPr>
                <w:rFonts w:ascii="仿宋_GB2312" w:hAnsi="仿宋_GB2312" w:cs="仿宋_GB2312" w:eastAsia="仿宋_GB2312"/>
              </w:rPr>
              <w:t>）</w:t>
            </w:r>
            <w:r>
              <w:rPr>
                <w:rFonts w:ascii="仿宋_GB2312" w:hAnsi="仿宋_GB2312" w:cs="仿宋_GB2312" w:eastAsia="仿宋_GB2312"/>
              </w:rPr>
              <w:t>据国家和陕西省相关法规要求，立足全省河湖长制管理工作实际，编制《陕西省河湖长制管理导则（试行）》。该导则旨在明确我省河湖长制组织体系、河湖长履职及工作机制，实现河湖长制管理的科学化和规范化。</w:t>
            </w:r>
          </w:p>
          <w:p>
            <w:pPr>
              <w:pStyle w:val="null3"/>
              <w:spacing w:before="105" w:after="30"/>
              <w:ind w:firstLine="400"/>
            </w:pPr>
            <w:r>
              <w:rPr>
                <w:rFonts w:ascii="仿宋_GB2312" w:hAnsi="仿宋_GB2312" w:cs="仿宋_GB2312" w:eastAsia="仿宋_GB2312"/>
              </w:rPr>
              <w:t>导则编制内容主要包括：总则、组织体系与职责分工、组织体系与职责分工、常态化巡查管护、问题排查整治、水资源与生态管控、监督考核与问责、信息化与智慧管理、宣传教育与长效机制。</w:t>
            </w:r>
          </w:p>
          <w:p>
            <w:pPr>
              <w:pStyle w:val="null3"/>
              <w:spacing w:before="105" w:after="30"/>
              <w:ind w:firstLine="400"/>
            </w:pPr>
            <w:r>
              <w:rPr>
                <w:rFonts w:ascii="仿宋_GB2312" w:hAnsi="仿宋_GB2312" w:cs="仿宋_GB2312" w:eastAsia="仿宋_GB2312"/>
              </w:rPr>
              <w:t>具体工作包括：系统调研陕西省黄河、长江两大流域典型河流河湖长制管理现状，梳理分析当前河湖长工作履职、监督考核中存在的主要问题；结合省、市、县、乡四级河湖长体系设置实际，明确各级河长工作职责、河湖长制运行机制：组织专家论证，广泛征求省级相关部门及市县水利部门意见；完成文本起草、修改完善及报批全过程服务，最终形成符合陕西省实际、具有指导性和约束力的管理导则文本。</w:t>
            </w:r>
          </w:p>
          <w:p>
            <w:pPr>
              <w:pStyle w:val="null3"/>
              <w:spacing w:before="105" w:after="30"/>
            </w:pPr>
            <w:r>
              <w:rPr>
                <w:rFonts w:ascii="仿宋_GB2312" w:hAnsi="仿宋_GB2312" w:cs="仿宋_GB2312" w:eastAsia="仿宋_GB2312"/>
              </w:rPr>
              <w:t>（四</w:t>
            </w:r>
            <w:r>
              <w:rPr>
                <w:rFonts w:ascii="仿宋_GB2312" w:hAnsi="仿宋_GB2312" w:cs="仿宋_GB2312" w:eastAsia="仿宋_GB2312"/>
              </w:rPr>
              <w:t>）技术路线</w:t>
            </w:r>
          </w:p>
          <w:p>
            <w:pPr>
              <w:pStyle w:val="null3"/>
              <w:spacing w:before="105" w:after="30"/>
              <w:ind w:firstLine="400"/>
            </w:pPr>
            <w:r>
              <w:rPr>
                <w:rFonts w:ascii="仿宋_GB2312" w:hAnsi="仿宋_GB2312" w:cs="仿宋_GB2312" w:eastAsia="仿宋_GB2312"/>
              </w:rPr>
              <w:t>依据法规与技术规范，系统分析我省河湖长制管理、水域岸线空间管控、涉河建设项目监管、“清四乱”常态化规范化、幸福河湖建设、采砂管理等</w:t>
            </w:r>
            <w:r>
              <w:rPr>
                <w:rFonts w:ascii="仿宋_GB2312" w:hAnsi="仿宋_GB2312" w:cs="仿宋_GB2312" w:eastAsia="仿宋_GB2312"/>
              </w:rPr>
              <w:t>6</w:t>
            </w:r>
            <w:r>
              <w:rPr>
                <w:rFonts w:ascii="仿宋_GB2312" w:hAnsi="仿宋_GB2312" w:cs="仿宋_GB2312" w:eastAsia="仿宋_GB2312"/>
              </w:rPr>
              <w:t>大领域存在技术标准的短板，调研省市县三级监管及问题整改技术需求。依据项目进度安排，共编制</w:t>
            </w:r>
            <w:r>
              <w:rPr>
                <w:rFonts w:ascii="仿宋_GB2312" w:hAnsi="仿宋_GB2312" w:cs="仿宋_GB2312" w:eastAsia="仿宋_GB2312"/>
              </w:rPr>
              <w:t>7</w:t>
            </w:r>
            <w:r>
              <w:rPr>
                <w:rFonts w:ascii="仿宋_GB2312" w:hAnsi="仿宋_GB2312" w:cs="仿宋_GB2312" w:eastAsia="仿宋_GB2312"/>
              </w:rPr>
              <w:t>部河湖管护技术标准，经专家咨询、征询相关单位意见、修改完善及省水利厅审定。</w:t>
            </w:r>
          </w:p>
          <w:p>
            <w:pPr>
              <w:pStyle w:val="null3"/>
              <w:spacing w:before="105" w:after="30"/>
            </w:pPr>
            <w:r>
              <w:rPr>
                <w:rFonts w:ascii="仿宋_GB2312" w:hAnsi="仿宋_GB2312" w:cs="仿宋_GB2312" w:eastAsia="仿宋_GB2312"/>
              </w:rPr>
              <w:t>五、</w:t>
            </w:r>
            <w:r>
              <w:rPr>
                <w:rFonts w:ascii="仿宋_GB2312" w:hAnsi="仿宋_GB2312" w:cs="仿宋_GB2312" w:eastAsia="仿宋_GB2312"/>
              </w:rPr>
              <w:t>提交</w:t>
            </w:r>
            <w:r>
              <w:rPr>
                <w:rFonts w:ascii="仿宋_GB2312" w:hAnsi="仿宋_GB2312" w:cs="仿宋_GB2312" w:eastAsia="仿宋_GB2312"/>
              </w:rPr>
              <w:t>成果</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）《河道采砂年度实施方案编制导则（试行）》</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）《河道采砂电子监管与河道修复技术导则</w:t>
            </w:r>
            <w:r>
              <w:rPr>
                <w:rFonts w:ascii="仿宋_GB2312" w:hAnsi="仿宋_GB2312" w:cs="仿宋_GB2312" w:eastAsia="仿宋_GB2312"/>
              </w:rPr>
              <w:t>（</w:t>
            </w:r>
            <w:r>
              <w:rPr>
                <w:rFonts w:ascii="仿宋_GB2312" w:hAnsi="仿宋_GB2312" w:cs="仿宋_GB2312" w:eastAsia="仿宋_GB2312"/>
              </w:rPr>
              <w:t>试行</w:t>
            </w:r>
            <w:r>
              <w:rPr>
                <w:rFonts w:ascii="仿宋_GB2312" w:hAnsi="仿宋_GB2312" w:cs="仿宋_GB2312" w:eastAsia="仿宋_GB2312"/>
              </w:rPr>
              <w:t>）</w:t>
            </w:r>
            <w:r>
              <w:rPr>
                <w:rFonts w:ascii="仿宋_GB2312" w:hAnsi="仿宋_GB2312" w:cs="仿宋_GB2312" w:eastAsia="仿宋_GB2312"/>
              </w:rPr>
              <w:t>》</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）《陕西省河道管理范围内建设项目投运检验技术规程（试行）》</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）《陕西省河湖“四乱”认定与整改技术导则（试行）》</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）《陕西省河湖岸线保护与管控技术规程（试行）》</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6</w:t>
            </w:r>
            <w:r>
              <w:rPr>
                <w:rFonts w:ascii="仿宋_GB2312" w:hAnsi="仿宋_GB2312" w:cs="仿宋_GB2312" w:eastAsia="仿宋_GB2312"/>
              </w:rPr>
              <w:t>）《陕西省幸福河湖建设技术导则（试行）》</w:t>
            </w:r>
          </w:p>
          <w:p>
            <w:pPr>
              <w:pStyle w:val="null3"/>
              <w:spacing w:before="105" w:after="30"/>
              <w:ind w:firstLine="400"/>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）《陕西省河湖长制管理导则（试行）》。</w:t>
            </w:r>
          </w:p>
          <w:p>
            <w:pPr>
              <w:pStyle w:val="null3"/>
              <w:spacing w:before="105" w:after="30"/>
            </w:pPr>
            <w:r>
              <w:rPr>
                <w:rFonts w:ascii="仿宋_GB2312" w:hAnsi="仿宋_GB2312" w:cs="仿宋_GB2312" w:eastAsia="仿宋_GB2312"/>
              </w:rPr>
              <w:t>六、质量指标</w:t>
            </w:r>
          </w:p>
          <w:p>
            <w:pPr>
              <w:pStyle w:val="null3"/>
              <w:jc w:val="both"/>
            </w:pPr>
            <w:r>
              <w:rPr>
                <w:rFonts w:ascii="仿宋_GB2312" w:hAnsi="仿宋_GB2312" w:cs="仿宋_GB2312" w:eastAsia="仿宋_GB2312"/>
                <w:sz w:val="21"/>
              </w:rPr>
              <w:t>成果质量满足相关技术参数要求，并通过</w:t>
            </w:r>
            <w:r>
              <w:rPr>
                <w:rFonts w:ascii="仿宋_GB2312" w:hAnsi="仿宋_GB2312" w:cs="仿宋_GB2312" w:eastAsia="仿宋_GB2312"/>
                <w:sz w:val="21"/>
              </w:rPr>
              <w:t>专家咨询</w:t>
            </w:r>
            <w:r>
              <w:rPr>
                <w:rFonts w:ascii="仿宋_GB2312" w:hAnsi="仿宋_GB2312" w:cs="仿宋_GB2312" w:eastAsia="仿宋_GB2312"/>
                <w:sz w:val="21"/>
              </w:rPr>
              <w:t>及</w:t>
            </w:r>
            <w:r>
              <w:rPr>
                <w:rFonts w:ascii="仿宋_GB2312" w:hAnsi="仿宋_GB2312" w:cs="仿宋_GB2312" w:eastAsia="仿宋_GB2312"/>
                <w:sz w:val="21"/>
              </w:rPr>
              <w:t>省水利厅审查与</w:t>
            </w:r>
            <w:r>
              <w:rPr>
                <w:rFonts w:ascii="仿宋_GB2312" w:hAnsi="仿宋_GB2312" w:cs="仿宋_GB2312" w:eastAsia="仿宋_GB2312"/>
                <w:sz w:val="21"/>
              </w:rPr>
              <w:t>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合同签订后至2026年10月15日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达到行业及国家有关规定标准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提交初步成果（7个成果文件），经省水利厅审查通过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 3、如有异议另行协商。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试点应用工作，供应商需要在线提交所有通过电子化交易平台实施的政府采购项目的响应文件。成交供应商在结果公示结束后2个工作日内向代理机构提供纸质版竞争性磋商响应文件，竞争性磋商响应文件三份。纸质竞争性磋商响应文件均须A4纸打印，分别各自装订成册并编制目录和页码。与电子竞争性磋商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成立时间至提交响应文件截止时间不足一年的可提供成立后任意时段的资产负债表）或其基本存款账户开户银行出具的资信证明及基本存款账户开户许可证（基本账户存款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提供2025年1月至今已缴纳的1个月纳税证明或完税证明，依法免税的单位应提供相关证明材料。供应商需在项目电子化交易系统中按要求上传相应证明文件并进行电子签章。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纳的1个月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法定代表人身份证明和法定代表人授权委托书</w:t>
            </w:r>
          </w:p>
        </w:tc>
        <w:tc>
          <w:tcPr>
            <w:tcW w:type="dxa" w:w="3322"/>
          </w:tcPr>
          <w:p>
            <w:pPr>
              <w:pStyle w:val="null3"/>
            </w:pPr>
            <w:r>
              <w:rPr>
                <w:rFonts w:ascii="仿宋_GB2312" w:hAnsi="仿宋_GB2312" w:cs="仿宋_GB2312" w:eastAsia="仿宋_GB2312"/>
              </w:rPr>
              <w:t>法定代表人直接负责投标的，须在磋商文件中提供法定代表人身份证明；法定代表人授权代表负责投标的，须在磋商文件中提供法定代表人身份证明和法定代表人授权委托书。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政府采购严重违法失信行为记录名单中被财政部门禁止参加政府采购活动的供应商（采购代理机构查询，采购代理机构查询时限为响应文件递交截止之日）。</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服务内容及服务要求应答表.docx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只能有一个有效报价、且不超过最高限价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实施方案及内容</w:t>
            </w:r>
          </w:p>
        </w:tc>
        <w:tc>
          <w:tcPr>
            <w:tcW w:type="dxa" w:w="2492"/>
          </w:tcPr>
          <w:p>
            <w:pPr>
              <w:pStyle w:val="null3"/>
            </w:pPr>
            <w:r>
              <w:rPr>
                <w:rFonts w:ascii="仿宋_GB2312" w:hAnsi="仿宋_GB2312" w:cs="仿宋_GB2312" w:eastAsia="仿宋_GB2312"/>
              </w:rPr>
              <w:t>1、对项目立项缘由的认知解读。（0-3分） 完整准确阐述项目背景，总体认知解读充分，得3分； 较准确的阐述项目背景，总体认知解读较充分，得2分； 阐述项目背景不准确，总体认知解读不充分，得 1分。 2、对项目实施方案指导思想及原则、实施范围的认知解读。（0-3分） 完整准确阐述方案指导思想及原则、实施范围，总体认知解读充分，得3分； 较准确地阐述方案指导思想及原则、实施范围，总体认知解读较充分，得2 分； 阐述方案指导思想及原则、实施范围不准确，总体认知解读不充分，得1分。 3、项目主要工作内容、提交成果掌握情况。（0-4分） 结合工作任务，对主要工作内容、提交成果等基础情况了解深入，相关基础工作准备充分得4分；结合工作任务，对主要工作内容、提交成果等基础情况不够了解，相关基础工作准备一般得3分； 结合工作任务，对主要工作内容、提交成果等基础情况了解不够具体充分，基本没有基础工作准备得2分。 注：缺项得0分。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编制工作方案</w:t>
            </w:r>
          </w:p>
        </w:tc>
        <w:tc>
          <w:tcPr>
            <w:tcW w:type="dxa" w:w="2492"/>
          </w:tcPr>
          <w:p>
            <w:pPr>
              <w:pStyle w:val="null3"/>
            </w:pPr>
            <w:r>
              <w:rPr>
                <w:rFonts w:ascii="仿宋_GB2312" w:hAnsi="仿宋_GB2312" w:cs="仿宋_GB2312" w:eastAsia="仿宋_GB2312"/>
              </w:rPr>
              <w:t>针对7个成果文件提出具体的编制工作方案（每个方案满分5分）。 每个成果文件的工作方案按照科学性、全面性、合理性、经济性、可实施性五个指标进行评审，五个指标满足要求得1分，不满足要求得0分。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成果文件质量、安全及服务保证措施</w:t>
            </w:r>
          </w:p>
        </w:tc>
        <w:tc>
          <w:tcPr>
            <w:tcW w:type="dxa" w:w="2492"/>
          </w:tcPr>
          <w:p>
            <w:pPr>
              <w:pStyle w:val="null3"/>
            </w:pPr>
            <w:r>
              <w:rPr>
                <w:rFonts w:ascii="仿宋_GB2312" w:hAnsi="仿宋_GB2312" w:cs="仿宋_GB2312" w:eastAsia="仿宋_GB2312"/>
              </w:rPr>
              <w:t>质量、安全目标明确、体系健全、保证措施切实可行得5分，质量、安全目标基本明确、体系基本健全、保证措施基本可行得3分，质量、安全目标明确度一般、体系健全度一般、保证措施可行性一般得1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进度计划符合实际，节点清晰，控制措施合理得5分；进度计划基本符合实际，节点基本清晰，控制措施基本合理得3分；进度计划不符合实际，节点不清晰，控制措施合理性一般得1分；缺项得0分。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投标人针对本项目制定的服务期限、服务内容、服务承诺是否满足要求，是否合理、全面。 1.服务期限满足采购人要求、服务内容合理，服务承诺全面，得5分； 2.服务期限较能满足采购人要求、服务内容较合理，服务承诺较全面，得3分； 3.服务期限基本满足采购人要求、服务内容一般，服务承诺一般，得1分； 4.无或其它情况不得分。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项目负责人及技术人员</w:t>
            </w:r>
          </w:p>
        </w:tc>
        <w:tc>
          <w:tcPr>
            <w:tcW w:type="dxa" w:w="2492"/>
          </w:tcPr>
          <w:p>
            <w:pPr>
              <w:pStyle w:val="null3"/>
            </w:pPr>
            <w:r>
              <w:rPr>
                <w:rFonts w:ascii="仿宋_GB2312" w:hAnsi="仿宋_GB2312" w:cs="仿宋_GB2312" w:eastAsia="仿宋_GB2312"/>
              </w:rPr>
              <w:t>项目负责人为高级工程师或以上职称（含教授、副教授）得3分；中级职称得2分；缺项及低于中级职称得0分。 项目配套人员：高级职称及以上（含教授、副教授）每提供1人得1分，最高6分，缺项得0分。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拟派人员情况.docx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供应商提供2020年1月1日至今的类似业绩（类似业绩证明材料形式包括合同或科研项目立项文件或已印发的标准或规范或已刊发的论文等），每提供一份得2分，最高得16分，未提供得0分。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价格分采用低价优先法计算，即满足磋商文件要求且最后报价最低的供应商的价格为磋商基准价，其价格分为满分。其他供应商的价格分统一按照下列公式计算：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4.00%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C1的扣除，用扣除后的价格参加评审。2、允许大中型企业向一家或者多家小微企业分包的采购项目，对于分包意向协议约定小微企业的合同份额占到合同总金额30%以上的，对大中型企业的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详见附件：拟派人员情况.docx</w:t>
      </w:r>
    </w:p>
    <w:p>
      <w:pPr>
        <w:pStyle w:val="null3"/>
        <w:ind w:firstLine="960"/>
      </w:pPr>
      <w:r>
        <w:rPr>
          <w:rFonts w:ascii="仿宋_GB2312" w:hAnsi="仿宋_GB2312" w:cs="仿宋_GB2312" w:eastAsia="仿宋_GB2312"/>
        </w:rPr>
        <w:t>详见附件：类似业绩.docx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