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FCE97">
      <w:pPr>
        <w:spacing w:line="360" w:lineRule="auto"/>
        <w:jc w:val="center"/>
        <w:rPr>
          <w:rFonts w:hint="eastAsia" w:ascii="宋体" w:hAnsi="宋体" w:eastAsia="宋体"/>
          <w:b/>
          <w:bCs/>
          <w:sz w:val="32"/>
          <w:szCs w:val="32"/>
          <w:lang w:eastAsia="zh-CN"/>
        </w:rPr>
      </w:pPr>
      <w:r>
        <w:rPr>
          <w:rFonts w:hint="eastAsia" w:ascii="宋体" w:hAnsi="宋体" w:eastAsia="宋体"/>
          <w:b/>
          <w:bCs/>
          <w:sz w:val="32"/>
          <w:szCs w:val="32"/>
          <w:lang w:eastAsia="zh-CN"/>
        </w:rPr>
        <w:t>三原县陂西镇庙张、庙东2村村级管网改造工程</w:t>
      </w:r>
    </w:p>
    <w:p w14:paraId="1FA89577">
      <w:pPr>
        <w:spacing w:line="360" w:lineRule="auto"/>
        <w:jc w:val="center"/>
        <w:rPr>
          <w:rFonts w:ascii="宋体" w:hAnsi="宋体" w:eastAsia="宋体"/>
          <w:b/>
          <w:bCs/>
          <w:sz w:val="32"/>
          <w:szCs w:val="32"/>
        </w:rPr>
      </w:pPr>
      <w:r>
        <w:rPr>
          <w:rFonts w:hint="eastAsia" w:ascii="宋体" w:hAnsi="宋体" w:eastAsia="宋体"/>
          <w:b/>
          <w:bCs/>
          <w:sz w:val="32"/>
          <w:szCs w:val="32"/>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00036619">
            <w:pPr>
              <w:pStyle w:val="15"/>
              <w:spacing w:line="240" w:lineRule="auto"/>
              <w:ind w:firstLine="210" w:firstLineChars="10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陕西省咸阳市三原县水利局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center"/>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三原县陂西镇庙张、庙东2村村级管网改造工程</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67A8E6DC">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本次采购项目为三原县陂西镇庙张、庙东2村村级管网改造工程，主要包括铺设PE100级de25～de140给水管19940m，修建各类阀井34座及附属设施。（具体详见采购文件及工程量清单）</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center"/>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：1,640,000.00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：1,640,000.00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w:t>
            </w:r>
            <w:r>
              <w:rPr>
                <w:rFonts w:hint="eastAsia" w:cs="宋体"/>
                <w:color w:val="000000"/>
                <w:sz w:val="21"/>
                <w:szCs w:val="21"/>
                <w:highlight w:val="none"/>
                <w:lang w:val="en-US" w:eastAsia="zh-CN"/>
              </w:rPr>
              <w:t>磋商</w:t>
            </w:r>
            <w:r>
              <w:rPr>
                <w:rFonts w:hint="eastAsia" w:ascii="宋体" w:hAnsi="宋体" w:eastAsia="宋体" w:cs="宋体"/>
                <w:color w:val="000000"/>
                <w:sz w:val="21"/>
                <w:szCs w:val="21"/>
                <w:highlight w:val="none"/>
              </w:rPr>
              <w:t>报价高于最高限价的则其</w:t>
            </w:r>
            <w:r>
              <w:rPr>
                <w:rFonts w:hint="eastAsia" w:cs="宋体"/>
                <w:color w:val="000000"/>
                <w:sz w:val="21"/>
                <w:szCs w:val="21"/>
                <w:highlight w:val="none"/>
                <w:lang w:val="en-US" w:eastAsia="zh-CN"/>
              </w:rPr>
              <w:t>响应</w:t>
            </w:r>
            <w:r>
              <w:rPr>
                <w:rFonts w:hint="eastAsia" w:ascii="宋体" w:hAnsi="宋体" w:eastAsia="宋体" w:cs="宋体"/>
                <w:color w:val="000000"/>
                <w:sz w:val="21"/>
                <w:szCs w:val="21"/>
                <w:highlight w:val="none"/>
              </w:rPr>
              <w:t>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017739B2">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合同包1(管网改造工程)特定资格要求如下:</w:t>
            </w:r>
          </w:p>
          <w:p w14:paraId="6E29815D">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16EDBB01">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(2)法定代表人参加磋商时，提供本人身份证；授权代表参加磋商时，提供法定代表人授权书和被授权人身份证；非法人单位参照执行；</w:t>
            </w:r>
          </w:p>
          <w:p w14:paraId="7AE66B7C">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(3)供应商须具备建设行政主管部门核发的有效的水利水电工程施工总承包三级（含三级）以上资质及安全生产许可证。</w:t>
            </w:r>
          </w:p>
          <w:p w14:paraId="0688CE62">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(4)具有水利水电工程专业二级及以上注册建造师执业资格以及有效的安全生产考核合格证（水利B证)，且未担任其他在建工程项目的项目经理(提供承诺)。</w:t>
            </w:r>
          </w:p>
          <w:p w14:paraId="7B01E389">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(5)参加政府采购活动前三年内，在经营活动中没有重大违法记录的书面声明；</w:t>
            </w:r>
          </w:p>
          <w:p w14:paraId="5E86B618">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(6)提供2026年1月1日以来已缴纳任意一个月完税凭证或税务机关开具的完税证明（任意税种）；依法免税的应提供相关文件证明；</w:t>
            </w:r>
          </w:p>
          <w:p w14:paraId="237BDF85">
            <w:pPr>
              <w:pStyle w:val="15"/>
              <w:spacing w:after="60" w:line="240" w:lineRule="auto"/>
              <w:ind w:firstLine="0"/>
              <w:jc w:val="both"/>
              <w:rPr>
                <w:rFonts w:hint="eastAsia" w:ascii="宋体" w:hAnsi="宋体" w:eastAsia="宋体" w:cs="宋体"/>
                <w:color w:val="000000"/>
                <w:sz w:val="21"/>
                <w:szCs w:val="21"/>
                <w:highlight w:val="none"/>
              </w:rPr>
            </w:pPr>
          </w:p>
          <w:p w14:paraId="068E838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(7)提供2026年1月1日以来已缴存的任意一个月的社会保障资金缴存证明或社保机构开具的社会保险参保缴费情况证明；依法不需要缴纳社会保障资金的应提供相关文件证明；</w:t>
            </w:r>
          </w:p>
          <w:p w14:paraId="0302B08C">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供应商不得为“信用中国”网站（www.creditchina.gov.cn）中被列入失信被执行人（跳转至中国执行信息公开网）、重大税收违法失信主体和中国政府采购网（www.ccgp.gov.cn）政府采购严重违法失信行为记录名单的单位；（磋商时，代理机构将现场查询）</w:t>
            </w:r>
          </w:p>
          <w:p w14:paraId="31D67963">
            <w:pPr>
              <w:pStyle w:val="15"/>
              <w:spacing w:after="60" w:line="240" w:lineRule="auto"/>
              <w:ind w:firstLine="0"/>
              <w:jc w:val="both"/>
              <w:rPr>
                <w:rFonts w:hint="eastAsia"/>
              </w:rPr>
            </w:pPr>
            <w:r>
              <w:rPr>
                <w:rFonts w:hint="eastAsia" w:ascii="宋体" w:hAnsi="宋体" w:eastAsia="宋体" w:cs="宋体"/>
                <w:color w:val="000000"/>
                <w:sz w:val="21"/>
                <w:szCs w:val="21"/>
                <w:highlight w:val="none"/>
              </w:rPr>
              <w:t>(9)提供非联合体磋商声明。</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竞争性磋商文件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tabs>
                <w:tab w:val="left" w:leader="underscore" w:pos="3478"/>
              </w:tabs>
              <w:spacing w:line="316" w:lineRule="exact"/>
              <w:ind w:firstLine="0" w:firstLineChars="0"/>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签订合同之日起6个月内完工</w:t>
            </w:r>
            <w:bookmarkStart w:id="0" w:name="_GoBack"/>
            <w:bookmarkEnd w:id="0"/>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施工</w:t>
            </w: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b/>
                <w:color w:val="000000"/>
                <w:sz w:val="21"/>
                <w:szCs w:val="21"/>
                <w:highlight w:val="none"/>
              </w:rPr>
              <w:t>% （2%-3%）的扣除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ascii="Segoe UI Symbol" w:hAnsi="Segoe UI Symbol" w:cs="Segoe UI Symbol"/>
                <w:color w:val="000000"/>
                <w:sz w:val="21"/>
                <w:szCs w:val="21"/>
                <w:highlight w:val="none"/>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7C24999"/>
    <w:rsid w:val="08FD6362"/>
    <w:rsid w:val="098E5CC9"/>
    <w:rsid w:val="0A1D1BF4"/>
    <w:rsid w:val="0B0F54EC"/>
    <w:rsid w:val="0CC63D57"/>
    <w:rsid w:val="13594246"/>
    <w:rsid w:val="147D740D"/>
    <w:rsid w:val="16FE0496"/>
    <w:rsid w:val="188B5562"/>
    <w:rsid w:val="1E394E64"/>
    <w:rsid w:val="25B30BFB"/>
    <w:rsid w:val="280451E0"/>
    <w:rsid w:val="2D094895"/>
    <w:rsid w:val="303A1E0C"/>
    <w:rsid w:val="31D74C23"/>
    <w:rsid w:val="3A575643"/>
    <w:rsid w:val="4092377C"/>
    <w:rsid w:val="422C0551"/>
    <w:rsid w:val="46CC130C"/>
    <w:rsid w:val="4E4A7B4B"/>
    <w:rsid w:val="50901457"/>
    <w:rsid w:val="52433CED"/>
    <w:rsid w:val="551E34D6"/>
    <w:rsid w:val="556C7FAA"/>
    <w:rsid w:val="566B16CF"/>
    <w:rsid w:val="5E196967"/>
    <w:rsid w:val="5F9C348D"/>
    <w:rsid w:val="67334BBF"/>
    <w:rsid w:val="68BA7285"/>
    <w:rsid w:val="6AD565AF"/>
    <w:rsid w:val="6D2D5E2D"/>
    <w:rsid w:val="6F5B51C0"/>
    <w:rsid w:val="71E61152"/>
    <w:rsid w:val="747622FD"/>
    <w:rsid w:val="7588247C"/>
    <w:rsid w:val="794E160F"/>
    <w:rsid w:val="7C6853A5"/>
    <w:rsid w:val="7E582DB0"/>
    <w:rsid w:val="7E7D3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1200</Words>
  <Characters>1310</Characters>
  <Lines>0</Lines>
  <Paragraphs>0</Paragraphs>
  <TotalTime>1</TotalTime>
  <ScaleCrop>false</ScaleCrop>
  <LinksUpToDate>false</LinksUpToDate>
  <CharactersWithSpaces>1324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花儿</cp:lastModifiedBy>
  <dcterms:modified xsi:type="dcterms:W3CDTF">2026-06-23T10:29:43Z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