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8955B">
      <w:pPr>
        <w:keepNext w:val="0"/>
        <w:keepLines w:val="0"/>
        <w:pageBreakBefore w:val="0"/>
        <w:wordWrap/>
        <w:overflowPunct/>
        <w:topLinePunct w:val="0"/>
        <w:bidi w:val="0"/>
        <w:spacing w:line="516" w:lineRule="exact"/>
        <w:jc w:val="center"/>
        <w:textAlignment w:val="auto"/>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宝鸡市中心血站2026年度采供血专用试剂耗材采购项目</w:t>
      </w:r>
    </w:p>
    <w:p w14:paraId="61114535">
      <w:pPr>
        <w:keepNext w:val="0"/>
        <w:keepLines w:val="0"/>
        <w:pageBreakBefore w:val="0"/>
        <w:wordWrap/>
        <w:overflowPunct/>
        <w:topLinePunct w:val="0"/>
        <w:bidi w:val="0"/>
        <w:spacing w:line="516" w:lineRule="exact"/>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（第</w:t>
      </w:r>
      <w:r>
        <w:rPr>
          <w:rFonts w:hint="eastAsia" w:ascii="仿宋" w:hAnsi="仿宋" w:eastAsia="仿宋" w:cs="仿宋"/>
          <w:b/>
          <w:color w:val="auto"/>
          <w:sz w:val="30"/>
          <w:szCs w:val="30"/>
          <w:highlight w:val="none"/>
          <w:u w:val="single"/>
          <w:lang w:val="en-US" w:eastAsia="zh-CN"/>
        </w:rPr>
        <w:t xml:space="preserve">  </w:t>
      </w:r>
      <w:r>
        <w:rPr>
          <w:rFonts w:hint="eastAsia" w:ascii="仿宋" w:hAnsi="仿宋" w:eastAsia="仿宋" w:cs="仿宋"/>
          <w:b/>
          <w:color w:val="auto"/>
          <w:sz w:val="30"/>
          <w:szCs w:val="30"/>
          <w:highlight w:val="none"/>
          <w:lang w:eastAsia="zh-CN"/>
        </w:rPr>
        <w:t>包）</w:t>
      </w:r>
      <w:r>
        <w:rPr>
          <w:rFonts w:hint="eastAsia" w:ascii="仿宋" w:hAnsi="仿宋" w:eastAsia="仿宋" w:cs="仿宋"/>
          <w:b/>
          <w:color w:val="auto"/>
          <w:sz w:val="30"/>
          <w:szCs w:val="30"/>
          <w:highlight w:val="none"/>
          <w:lang w:val="en-US" w:eastAsia="zh-CN"/>
        </w:rPr>
        <w:t>供货</w:t>
      </w:r>
      <w:r>
        <w:rPr>
          <w:rFonts w:hint="eastAsia" w:ascii="仿宋" w:hAnsi="仿宋" w:eastAsia="仿宋" w:cs="仿宋"/>
          <w:b/>
          <w:color w:val="auto"/>
          <w:sz w:val="30"/>
          <w:szCs w:val="30"/>
          <w:highlight w:val="none"/>
        </w:rPr>
        <w:t>合同</w:t>
      </w:r>
    </w:p>
    <w:p w14:paraId="7DF0FF11">
      <w:pPr>
        <w:pStyle w:val="6"/>
        <w:spacing w:line="360" w:lineRule="auto"/>
        <w:ind w:left="0" w:leftChars="0" w:firstLine="0" w:firstLineChars="0"/>
        <w:outlineLvl w:val="9"/>
        <w:rPr>
          <w:rFonts w:hint="eastAsia" w:ascii="仿宋" w:hAnsi="仿宋" w:eastAsia="仿宋" w:cs="仿宋"/>
          <w:sz w:val="24"/>
          <w:highlight w:val="none"/>
        </w:rPr>
      </w:pPr>
      <w:r>
        <w:rPr>
          <w:rFonts w:hint="eastAsia" w:ascii="仿宋" w:hAnsi="仿宋" w:eastAsia="仿宋" w:cs="仿宋"/>
          <w:sz w:val="24"/>
          <w:highlight w:val="none"/>
        </w:rPr>
        <w:t xml:space="preserve">合同编号：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p>
    <w:p w14:paraId="4190D49B">
      <w:pPr>
        <w:pStyle w:val="6"/>
        <w:spacing w:line="360" w:lineRule="auto"/>
        <w:ind w:left="0" w:leftChars="0" w:firstLine="0" w:firstLineChars="0"/>
        <w:outlineLvl w:val="9"/>
        <w:rPr>
          <w:rFonts w:hint="eastAsia" w:ascii="仿宋" w:hAnsi="仿宋" w:eastAsia="仿宋" w:cs="仿宋"/>
          <w:sz w:val="24"/>
          <w:highlight w:val="none"/>
        </w:rPr>
      </w:pPr>
      <w:r>
        <w:rPr>
          <w:rFonts w:hint="eastAsia" w:ascii="仿宋" w:hAnsi="仿宋" w:eastAsia="仿宋" w:cs="仿宋"/>
          <w:sz w:val="24"/>
          <w:highlight w:val="none"/>
        </w:rPr>
        <w:t xml:space="preserve">签订地点：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p>
    <w:p w14:paraId="4A2B6748">
      <w:pPr>
        <w:pStyle w:val="6"/>
        <w:spacing w:line="360" w:lineRule="auto"/>
        <w:ind w:left="0" w:leftChars="0" w:firstLine="0" w:firstLineChars="0"/>
        <w:outlineLvl w:val="9"/>
        <w:rPr>
          <w:rFonts w:hint="eastAsia" w:ascii="仿宋" w:hAnsi="仿宋" w:eastAsia="仿宋" w:cs="仿宋"/>
          <w:sz w:val="24"/>
          <w:highlight w:val="none"/>
          <w:u w:val="single"/>
        </w:rPr>
      </w:pPr>
      <w:r>
        <w:rPr>
          <w:rFonts w:hint="eastAsia" w:ascii="仿宋" w:hAnsi="仿宋" w:eastAsia="仿宋" w:cs="仿宋"/>
          <w:sz w:val="24"/>
          <w:highlight w:val="none"/>
        </w:rPr>
        <w:t xml:space="preserve">签订时间：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p>
    <w:p w14:paraId="2843FC84">
      <w:pPr>
        <w:pStyle w:val="6"/>
        <w:spacing w:line="360" w:lineRule="auto"/>
        <w:ind w:left="0" w:leftChars="0" w:firstLine="0" w:firstLineChars="0"/>
        <w:outlineLvl w:val="9"/>
        <w:rPr>
          <w:rFonts w:hint="eastAsia" w:ascii="仿宋" w:hAnsi="仿宋" w:eastAsia="仿宋" w:cs="仿宋"/>
          <w:sz w:val="24"/>
          <w:highlight w:val="none"/>
        </w:rPr>
      </w:pPr>
      <w:r>
        <w:rPr>
          <w:rFonts w:hint="eastAsia" w:ascii="仿宋" w:hAnsi="仿宋" w:eastAsia="仿宋" w:cs="仿宋"/>
          <w:sz w:val="24"/>
          <w:highlight w:val="none"/>
        </w:rPr>
        <w:t>采购人（甲方）：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CN"/>
        </w:rPr>
        <w:t>宝鸡市中心血站</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p>
    <w:p w14:paraId="5AA29AB9">
      <w:pPr>
        <w:pStyle w:val="6"/>
        <w:spacing w:after="381" w:afterLines="100" w:line="360" w:lineRule="auto"/>
        <w:ind w:left="0" w:leftChars="0" w:firstLine="0" w:firstLineChars="0"/>
        <w:outlineLvl w:val="9"/>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供应商（乙方）：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p w14:paraId="085816ED">
      <w:pPr>
        <w:pStyle w:val="6"/>
        <w:spacing w:after="381" w:afterLines="100" w:line="360" w:lineRule="auto"/>
        <w:ind w:left="0" w:leftChars="0" w:firstLine="480" w:firstLineChars="200"/>
        <w:outlineLvl w:val="9"/>
        <w:rPr>
          <w:rFonts w:hint="eastAsia" w:ascii="仿宋" w:hAnsi="仿宋" w:eastAsia="仿宋" w:cs="仿宋"/>
          <w:sz w:val="24"/>
          <w:highlight w:val="none"/>
          <w:u w:val="single"/>
        </w:rPr>
      </w:pPr>
      <w:r>
        <w:rPr>
          <w:rFonts w:hint="eastAsia" w:ascii="仿宋" w:hAnsi="仿宋" w:eastAsia="仿宋" w:cs="仿宋"/>
          <w:sz w:val="24"/>
          <w:highlight w:val="none"/>
        </w:rPr>
        <w:t>根据《中华人民共和国政府采购法》及实施条例、《中华人民共和国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》及其他有关法律、法规，为保证采购项目的顺利实施，遵循平等、自愿、公平和诚信的原则甲乙双方就</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eastAsia="zh-CN"/>
        </w:rPr>
        <w:t>宝鸡市中心血站2026年度采供血专用试剂耗材采购项目（第</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eastAsia="zh-CN"/>
        </w:rPr>
        <w:t>包）</w:t>
      </w:r>
      <w:r>
        <w:rPr>
          <w:rFonts w:hint="eastAsia" w:ascii="仿宋" w:hAnsi="仿宋" w:eastAsia="仿宋" w:cs="仿宋"/>
          <w:sz w:val="24"/>
          <w:highlight w:val="none"/>
          <w:u w:val="single"/>
        </w:rPr>
        <w:t>（项目编</w:t>
      </w:r>
      <w:r>
        <w:rPr>
          <w:rFonts w:hint="eastAsia" w:ascii="仿宋" w:hAnsi="仿宋" w:eastAsia="仿宋" w:cs="仿宋"/>
          <w:sz w:val="24"/>
          <w:highlight w:val="none"/>
          <w:u w:val="single"/>
          <w:lang w:eastAsia="zh-CN"/>
        </w:rPr>
        <w:t>号：HYJH-2026-07-01（</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w:t>
      </w:r>
      <w:r>
        <w:rPr>
          <w:rFonts w:hint="eastAsia" w:ascii="仿宋" w:hAnsi="仿宋" w:eastAsia="仿宋" w:cs="仿宋"/>
          <w:sz w:val="24"/>
          <w:highlight w:val="none"/>
        </w:rPr>
        <w:t>，签订本合同，并共同遵守如下条款：</w:t>
      </w:r>
    </w:p>
    <w:p w14:paraId="2B9B6687">
      <w:pPr>
        <w:keepNext w:val="0"/>
        <w:keepLines w:val="0"/>
        <w:pageBreakBefore w:val="0"/>
        <w:kinsoku/>
        <w:wordWrap/>
        <w:overflowPunct/>
        <w:topLinePunct w:val="0"/>
        <w:bidi w:val="0"/>
        <w:adjustRightInd w:val="0"/>
        <w:snapToGrid w:val="0"/>
        <w:spacing w:line="240" w:lineRule="auto"/>
        <w:textAlignment w:val="auto"/>
        <w:outlineLvl w:val="9"/>
        <w:rPr>
          <w:rFonts w:hint="eastAsia" w:ascii="仿宋" w:hAnsi="仿宋" w:eastAsia="仿宋" w:cs="仿宋"/>
          <w:b/>
          <w:sz w:val="24"/>
          <w:highlight w:val="none"/>
        </w:rPr>
      </w:pPr>
      <w:r>
        <w:rPr>
          <w:rFonts w:hint="eastAsia" w:ascii="仿宋" w:hAnsi="仿宋" w:eastAsia="仿宋" w:cs="仿宋"/>
          <w:b/>
          <w:sz w:val="24"/>
          <w:highlight w:val="none"/>
        </w:rPr>
        <w:t>一、合同内容</w:t>
      </w:r>
    </w:p>
    <w:tbl>
      <w:tblPr>
        <w:tblStyle w:val="4"/>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200"/>
        <w:gridCol w:w="2076"/>
        <w:gridCol w:w="855"/>
        <w:gridCol w:w="982"/>
        <w:gridCol w:w="941"/>
        <w:gridCol w:w="907"/>
        <w:gridCol w:w="1211"/>
      </w:tblGrid>
      <w:tr w14:paraId="01FB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796" w:type="dxa"/>
            <w:noWrap w:val="0"/>
            <w:vAlign w:val="center"/>
          </w:tcPr>
          <w:p w14:paraId="4799AE07">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序号</w:t>
            </w:r>
          </w:p>
        </w:tc>
        <w:tc>
          <w:tcPr>
            <w:tcW w:w="1200" w:type="dxa"/>
            <w:noWrap w:val="0"/>
            <w:vAlign w:val="center"/>
          </w:tcPr>
          <w:p w14:paraId="18E1F18C">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eastAsia="zh-CN"/>
              </w:rPr>
              <w:t>产品</w:t>
            </w:r>
            <w:r>
              <w:rPr>
                <w:rFonts w:hint="eastAsia" w:ascii="仿宋" w:hAnsi="仿宋" w:eastAsia="仿宋" w:cs="仿宋"/>
                <w:sz w:val="24"/>
                <w:highlight w:val="none"/>
              </w:rPr>
              <w:t>名称</w:t>
            </w:r>
          </w:p>
        </w:tc>
        <w:tc>
          <w:tcPr>
            <w:tcW w:w="2076" w:type="dxa"/>
            <w:noWrap w:val="0"/>
            <w:vAlign w:val="center"/>
          </w:tcPr>
          <w:p w14:paraId="2DD73F0C">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制造厂商及品牌</w:t>
            </w:r>
          </w:p>
        </w:tc>
        <w:tc>
          <w:tcPr>
            <w:tcW w:w="855" w:type="dxa"/>
            <w:noWrap w:val="0"/>
            <w:vAlign w:val="center"/>
          </w:tcPr>
          <w:p w14:paraId="6FFBB907">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规格</w:t>
            </w:r>
          </w:p>
        </w:tc>
        <w:tc>
          <w:tcPr>
            <w:tcW w:w="982" w:type="dxa"/>
            <w:noWrap w:val="0"/>
            <w:vAlign w:val="center"/>
          </w:tcPr>
          <w:p w14:paraId="3FABEA8A">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val="en-US" w:eastAsia="zh-CN"/>
              </w:rPr>
              <w:t>产地</w:t>
            </w:r>
          </w:p>
        </w:tc>
        <w:tc>
          <w:tcPr>
            <w:tcW w:w="941" w:type="dxa"/>
            <w:noWrap w:val="0"/>
            <w:vAlign w:val="center"/>
          </w:tcPr>
          <w:p w14:paraId="7CBA1052">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数量</w:t>
            </w:r>
          </w:p>
        </w:tc>
        <w:tc>
          <w:tcPr>
            <w:tcW w:w="907" w:type="dxa"/>
            <w:noWrap w:val="0"/>
            <w:vAlign w:val="center"/>
          </w:tcPr>
          <w:p w14:paraId="57A7E667">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单位</w:t>
            </w:r>
          </w:p>
        </w:tc>
        <w:tc>
          <w:tcPr>
            <w:tcW w:w="1211" w:type="dxa"/>
            <w:noWrap w:val="0"/>
            <w:vAlign w:val="center"/>
          </w:tcPr>
          <w:p w14:paraId="44F0A6A7">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单价（元）</w:t>
            </w:r>
          </w:p>
        </w:tc>
      </w:tr>
      <w:tr w14:paraId="27B9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96" w:type="dxa"/>
            <w:noWrap w:val="0"/>
            <w:vAlign w:val="center"/>
          </w:tcPr>
          <w:p w14:paraId="2912CF62">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w:t>
            </w:r>
          </w:p>
        </w:tc>
        <w:tc>
          <w:tcPr>
            <w:tcW w:w="1200" w:type="dxa"/>
            <w:noWrap w:val="0"/>
            <w:vAlign w:val="center"/>
          </w:tcPr>
          <w:p w14:paraId="269F0445">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b/>
                <w:sz w:val="24"/>
                <w:highlight w:val="none"/>
              </w:rPr>
            </w:pPr>
          </w:p>
        </w:tc>
        <w:tc>
          <w:tcPr>
            <w:tcW w:w="2076" w:type="dxa"/>
            <w:noWrap w:val="0"/>
            <w:vAlign w:val="center"/>
          </w:tcPr>
          <w:p w14:paraId="45F10EAA">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b/>
                <w:sz w:val="24"/>
                <w:highlight w:val="none"/>
              </w:rPr>
            </w:pPr>
          </w:p>
        </w:tc>
        <w:tc>
          <w:tcPr>
            <w:tcW w:w="855" w:type="dxa"/>
            <w:noWrap w:val="0"/>
            <w:vAlign w:val="center"/>
          </w:tcPr>
          <w:p w14:paraId="1A607692">
            <w:pPr>
              <w:keepNext w:val="0"/>
              <w:keepLines w:val="0"/>
              <w:pageBreakBefore w:val="0"/>
              <w:kinsoku/>
              <w:wordWrap/>
              <w:overflowPunct/>
              <w:topLinePunct w:val="0"/>
              <w:bidi w:val="0"/>
              <w:spacing w:line="540" w:lineRule="exact"/>
              <w:ind w:left="480" w:hanging="480" w:hangingChars="200"/>
              <w:jc w:val="center"/>
              <w:textAlignment w:val="auto"/>
              <w:outlineLvl w:val="9"/>
              <w:rPr>
                <w:rFonts w:hint="eastAsia" w:ascii="仿宋" w:hAnsi="仿宋" w:eastAsia="仿宋" w:cs="仿宋"/>
                <w:bCs/>
                <w:sz w:val="24"/>
                <w:highlight w:val="none"/>
              </w:rPr>
            </w:pPr>
          </w:p>
        </w:tc>
        <w:tc>
          <w:tcPr>
            <w:tcW w:w="982" w:type="dxa"/>
            <w:noWrap w:val="0"/>
            <w:vAlign w:val="center"/>
          </w:tcPr>
          <w:p w14:paraId="55B1B1E1">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941" w:type="dxa"/>
            <w:noWrap w:val="0"/>
            <w:vAlign w:val="center"/>
          </w:tcPr>
          <w:p w14:paraId="7E83574B">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907" w:type="dxa"/>
            <w:noWrap w:val="0"/>
            <w:vAlign w:val="center"/>
          </w:tcPr>
          <w:p w14:paraId="3335A0A2">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1211" w:type="dxa"/>
            <w:noWrap w:val="0"/>
            <w:vAlign w:val="center"/>
          </w:tcPr>
          <w:p w14:paraId="1247DCB8">
            <w:pPr>
              <w:keepNext w:val="0"/>
              <w:keepLines w:val="0"/>
              <w:pageBreakBefore w:val="0"/>
              <w:kinsoku/>
              <w:wordWrap/>
              <w:overflowPunct/>
              <w:topLinePunct w:val="0"/>
              <w:bidi w:val="0"/>
              <w:spacing w:line="540" w:lineRule="exact"/>
              <w:ind w:right="-433" w:rightChars="-206"/>
              <w:jc w:val="center"/>
              <w:textAlignment w:val="auto"/>
              <w:outlineLvl w:val="9"/>
              <w:rPr>
                <w:rFonts w:hint="eastAsia" w:ascii="仿宋" w:hAnsi="仿宋" w:eastAsia="仿宋" w:cs="仿宋"/>
                <w:bCs/>
                <w:sz w:val="24"/>
                <w:highlight w:val="none"/>
              </w:rPr>
            </w:pPr>
          </w:p>
        </w:tc>
      </w:tr>
      <w:tr w14:paraId="4DDC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96" w:type="dxa"/>
            <w:noWrap w:val="0"/>
            <w:vAlign w:val="center"/>
          </w:tcPr>
          <w:p w14:paraId="3A5BFC6B">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w:t>
            </w:r>
          </w:p>
        </w:tc>
        <w:tc>
          <w:tcPr>
            <w:tcW w:w="1200" w:type="dxa"/>
            <w:noWrap w:val="0"/>
            <w:vAlign w:val="center"/>
          </w:tcPr>
          <w:p w14:paraId="24944E93">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b/>
                <w:sz w:val="24"/>
                <w:highlight w:val="none"/>
              </w:rPr>
            </w:pPr>
          </w:p>
        </w:tc>
        <w:tc>
          <w:tcPr>
            <w:tcW w:w="2076" w:type="dxa"/>
            <w:noWrap w:val="0"/>
            <w:vAlign w:val="center"/>
          </w:tcPr>
          <w:p w14:paraId="0C380EC8">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b/>
                <w:sz w:val="24"/>
                <w:highlight w:val="none"/>
              </w:rPr>
            </w:pPr>
          </w:p>
        </w:tc>
        <w:tc>
          <w:tcPr>
            <w:tcW w:w="855" w:type="dxa"/>
            <w:noWrap w:val="0"/>
            <w:vAlign w:val="center"/>
          </w:tcPr>
          <w:p w14:paraId="429BE530">
            <w:pPr>
              <w:keepNext w:val="0"/>
              <w:keepLines w:val="0"/>
              <w:pageBreakBefore w:val="0"/>
              <w:kinsoku/>
              <w:wordWrap/>
              <w:overflowPunct/>
              <w:topLinePunct w:val="0"/>
              <w:bidi w:val="0"/>
              <w:spacing w:line="540" w:lineRule="exact"/>
              <w:ind w:left="480" w:hanging="480" w:hangingChars="200"/>
              <w:jc w:val="center"/>
              <w:textAlignment w:val="auto"/>
              <w:outlineLvl w:val="9"/>
              <w:rPr>
                <w:rFonts w:hint="eastAsia" w:ascii="仿宋" w:hAnsi="仿宋" w:eastAsia="仿宋" w:cs="仿宋"/>
                <w:bCs/>
                <w:sz w:val="24"/>
                <w:highlight w:val="none"/>
              </w:rPr>
            </w:pPr>
          </w:p>
        </w:tc>
        <w:tc>
          <w:tcPr>
            <w:tcW w:w="982" w:type="dxa"/>
            <w:noWrap w:val="0"/>
            <w:vAlign w:val="center"/>
          </w:tcPr>
          <w:p w14:paraId="5242AB92">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941" w:type="dxa"/>
            <w:noWrap w:val="0"/>
            <w:vAlign w:val="center"/>
          </w:tcPr>
          <w:p w14:paraId="669BB4C8">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907" w:type="dxa"/>
            <w:noWrap w:val="0"/>
            <w:vAlign w:val="center"/>
          </w:tcPr>
          <w:p w14:paraId="354325CF">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1211" w:type="dxa"/>
            <w:noWrap w:val="0"/>
            <w:vAlign w:val="center"/>
          </w:tcPr>
          <w:p w14:paraId="52DC1C2D">
            <w:pPr>
              <w:keepNext w:val="0"/>
              <w:keepLines w:val="0"/>
              <w:pageBreakBefore w:val="0"/>
              <w:kinsoku/>
              <w:wordWrap/>
              <w:overflowPunct/>
              <w:topLinePunct w:val="0"/>
              <w:bidi w:val="0"/>
              <w:spacing w:line="540" w:lineRule="exact"/>
              <w:ind w:right="-433" w:rightChars="-206"/>
              <w:jc w:val="center"/>
              <w:textAlignment w:val="auto"/>
              <w:outlineLvl w:val="9"/>
              <w:rPr>
                <w:rFonts w:hint="eastAsia" w:ascii="仿宋" w:hAnsi="仿宋" w:eastAsia="仿宋" w:cs="仿宋"/>
                <w:bCs/>
                <w:sz w:val="24"/>
                <w:highlight w:val="none"/>
              </w:rPr>
            </w:pPr>
          </w:p>
        </w:tc>
      </w:tr>
      <w:tr w14:paraId="249F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96" w:type="dxa"/>
            <w:noWrap w:val="0"/>
            <w:vAlign w:val="center"/>
          </w:tcPr>
          <w:p w14:paraId="691FE310">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3</w:t>
            </w:r>
          </w:p>
        </w:tc>
        <w:tc>
          <w:tcPr>
            <w:tcW w:w="1200" w:type="dxa"/>
            <w:noWrap w:val="0"/>
            <w:vAlign w:val="center"/>
          </w:tcPr>
          <w:p w14:paraId="63632085">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b/>
                <w:sz w:val="24"/>
                <w:highlight w:val="none"/>
              </w:rPr>
            </w:pPr>
          </w:p>
        </w:tc>
        <w:tc>
          <w:tcPr>
            <w:tcW w:w="2076" w:type="dxa"/>
            <w:noWrap w:val="0"/>
            <w:vAlign w:val="center"/>
          </w:tcPr>
          <w:p w14:paraId="06DE6D01">
            <w:pPr>
              <w:keepNext w:val="0"/>
              <w:keepLines w:val="0"/>
              <w:pageBreakBefore w:val="0"/>
              <w:tabs>
                <w:tab w:val="left" w:pos="480"/>
              </w:tabs>
              <w:kinsoku/>
              <w:wordWrap/>
              <w:overflowPunct/>
              <w:topLinePunct w:val="0"/>
              <w:bidi w:val="0"/>
              <w:spacing w:line="540" w:lineRule="exact"/>
              <w:jc w:val="center"/>
              <w:textAlignment w:val="auto"/>
              <w:outlineLvl w:val="9"/>
              <w:rPr>
                <w:rFonts w:hint="eastAsia" w:ascii="仿宋" w:hAnsi="仿宋" w:eastAsia="仿宋" w:cs="仿宋"/>
                <w:b/>
                <w:sz w:val="24"/>
                <w:highlight w:val="none"/>
              </w:rPr>
            </w:pPr>
          </w:p>
        </w:tc>
        <w:tc>
          <w:tcPr>
            <w:tcW w:w="855" w:type="dxa"/>
            <w:noWrap w:val="0"/>
            <w:vAlign w:val="center"/>
          </w:tcPr>
          <w:p w14:paraId="7C31B39C">
            <w:pPr>
              <w:keepNext w:val="0"/>
              <w:keepLines w:val="0"/>
              <w:pageBreakBefore w:val="0"/>
              <w:kinsoku/>
              <w:wordWrap/>
              <w:overflowPunct/>
              <w:topLinePunct w:val="0"/>
              <w:bidi w:val="0"/>
              <w:spacing w:line="540" w:lineRule="exact"/>
              <w:ind w:left="480" w:hanging="480" w:hangingChars="200"/>
              <w:jc w:val="center"/>
              <w:textAlignment w:val="auto"/>
              <w:outlineLvl w:val="9"/>
              <w:rPr>
                <w:rFonts w:hint="eastAsia" w:ascii="仿宋" w:hAnsi="仿宋" w:eastAsia="仿宋" w:cs="仿宋"/>
                <w:bCs/>
                <w:sz w:val="24"/>
                <w:highlight w:val="none"/>
              </w:rPr>
            </w:pPr>
          </w:p>
        </w:tc>
        <w:tc>
          <w:tcPr>
            <w:tcW w:w="982" w:type="dxa"/>
            <w:noWrap w:val="0"/>
            <w:vAlign w:val="center"/>
          </w:tcPr>
          <w:p w14:paraId="3F4485E2">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941" w:type="dxa"/>
            <w:noWrap w:val="0"/>
            <w:vAlign w:val="center"/>
          </w:tcPr>
          <w:p w14:paraId="6B7AE201">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907" w:type="dxa"/>
            <w:noWrap w:val="0"/>
            <w:vAlign w:val="center"/>
          </w:tcPr>
          <w:p w14:paraId="0346C5B0">
            <w:pPr>
              <w:keepNext w:val="0"/>
              <w:keepLines w:val="0"/>
              <w:pageBreakBefore w:val="0"/>
              <w:kinsoku/>
              <w:wordWrap/>
              <w:overflowPunct/>
              <w:topLinePunct w:val="0"/>
              <w:bidi w:val="0"/>
              <w:spacing w:line="540" w:lineRule="exact"/>
              <w:ind w:firstLine="117" w:firstLineChars="49"/>
              <w:jc w:val="center"/>
              <w:textAlignment w:val="auto"/>
              <w:outlineLvl w:val="9"/>
              <w:rPr>
                <w:rFonts w:hint="eastAsia" w:ascii="仿宋" w:hAnsi="仿宋" w:eastAsia="仿宋" w:cs="仿宋"/>
                <w:bCs/>
                <w:sz w:val="24"/>
                <w:highlight w:val="none"/>
              </w:rPr>
            </w:pPr>
          </w:p>
        </w:tc>
        <w:tc>
          <w:tcPr>
            <w:tcW w:w="1211" w:type="dxa"/>
            <w:noWrap w:val="0"/>
            <w:vAlign w:val="center"/>
          </w:tcPr>
          <w:p w14:paraId="49DE1131">
            <w:pPr>
              <w:keepNext w:val="0"/>
              <w:keepLines w:val="0"/>
              <w:pageBreakBefore w:val="0"/>
              <w:kinsoku/>
              <w:wordWrap/>
              <w:overflowPunct/>
              <w:topLinePunct w:val="0"/>
              <w:bidi w:val="0"/>
              <w:spacing w:line="540" w:lineRule="exact"/>
              <w:ind w:right="-433" w:rightChars="-206"/>
              <w:jc w:val="center"/>
              <w:textAlignment w:val="auto"/>
              <w:outlineLvl w:val="9"/>
              <w:rPr>
                <w:rFonts w:hint="eastAsia" w:ascii="仿宋" w:hAnsi="仿宋" w:eastAsia="仿宋" w:cs="仿宋"/>
                <w:bCs/>
                <w:sz w:val="24"/>
                <w:highlight w:val="none"/>
              </w:rPr>
            </w:pPr>
          </w:p>
        </w:tc>
      </w:tr>
      <w:tr w14:paraId="38D61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96" w:type="dxa"/>
            <w:noWrap w:val="0"/>
            <w:vAlign w:val="center"/>
          </w:tcPr>
          <w:p w14:paraId="50A8DE5D">
            <w:pPr>
              <w:keepNext w:val="0"/>
              <w:keepLines w:val="0"/>
              <w:pageBreakBefore w:val="0"/>
              <w:kinsoku/>
              <w:wordWrap/>
              <w:overflowPunct/>
              <w:topLinePunct w:val="0"/>
              <w:bidi w:val="0"/>
              <w:spacing w:line="540" w:lineRule="exact"/>
              <w:ind w:right="-433" w:rightChars="-206" w:firstLine="120" w:firstLineChars="50"/>
              <w:textAlignment w:val="auto"/>
              <w:outlineLvl w:val="9"/>
              <w:rPr>
                <w:rFonts w:hint="eastAsia" w:ascii="仿宋" w:hAnsi="仿宋" w:eastAsia="仿宋" w:cs="仿宋"/>
                <w:bCs/>
                <w:sz w:val="24"/>
                <w:highlight w:val="none"/>
              </w:rPr>
            </w:pPr>
            <w:r>
              <w:rPr>
                <w:rFonts w:hint="eastAsia" w:ascii="仿宋" w:hAnsi="仿宋" w:eastAsia="仿宋" w:cs="仿宋"/>
                <w:bCs/>
                <w:sz w:val="24"/>
                <w:highlight w:val="none"/>
              </w:rPr>
              <w:t>备注</w:t>
            </w:r>
          </w:p>
        </w:tc>
        <w:tc>
          <w:tcPr>
            <w:tcW w:w="8172" w:type="dxa"/>
            <w:gridSpan w:val="7"/>
            <w:noWrap w:val="0"/>
            <w:vAlign w:val="center"/>
          </w:tcPr>
          <w:p w14:paraId="1154488B">
            <w:pPr>
              <w:keepNext w:val="0"/>
              <w:keepLines w:val="0"/>
              <w:pageBreakBefore w:val="0"/>
              <w:kinsoku/>
              <w:wordWrap/>
              <w:overflowPunct/>
              <w:topLinePunct w:val="0"/>
              <w:bidi w:val="0"/>
              <w:spacing w:line="540" w:lineRule="exact"/>
              <w:ind w:right="-433" w:rightChars="-206"/>
              <w:jc w:val="center"/>
              <w:textAlignment w:val="auto"/>
              <w:outlineLvl w:val="9"/>
              <w:rPr>
                <w:rFonts w:hint="eastAsia" w:ascii="仿宋" w:hAnsi="仿宋" w:eastAsia="仿宋" w:cs="仿宋"/>
                <w:bCs/>
                <w:sz w:val="24"/>
                <w:highlight w:val="none"/>
              </w:rPr>
            </w:pPr>
          </w:p>
        </w:tc>
      </w:tr>
    </w:tbl>
    <w:p w14:paraId="1DE463C5">
      <w:pPr>
        <w:keepNext w:val="0"/>
        <w:keepLines w:val="0"/>
        <w:pageBreakBefore w:val="0"/>
        <w:kinsoku/>
        <w:wordWrap/>
        <w:overflowPunct/>
        <w:topLinePunct w:val="0"/>
        <w:bidi w:val="0"/>
        <w:adjustRightInd w:val="0"/>
        <w:snapToGrid w:val="0"/>
        <w:spacing w:line="540" w:lineRule="exact"/>
        <w:textAlignment w:val="auto"/>
        <w:outlineLvl w:val="9"/>
        <w:rPr>
          <w:rFonts w:hint="eastAsia" w:ascii="仿宋" w:hAnsi="仿宋" w:eastAsia="仿宋" w:cs="仿宋"/>
          <w:b/>
          <w:sz w:val="24"/>
          <w:highlight w:val="none"/>
        </w:rPr>
      </w:pPr>
      <w:r>
        <w:rPr>
          <w:rFonts w:hint="eastAsia" w:ascii="仿宋" w:hAnsi="仿宋" w:eastAsia="仿宋" w:cs="仿宋"/>
          <w:b/>
          <w:sz w:val="24"/>
          <w:highlight w:val="none"/>
        </w:rPr>
        <w:t>二、合同价款</w:t>
      </w:r>
    </w:p>
    <w:p w14:paraId="08431BE2">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、合同</w:t>
      </w:r>
      <w:r>
        <w:rPr>
          <w:rFonts w:hint="eastAsia" w:ascii="仿宋" w:hAnsi="仿宋" w:eastAsia="仿宋" w:cs="仿宋"/>
          <w:sz w:val="24"/>
          <w:highlight w:val="none"/>
          <w:lang w:val="en-US" w:eastAsia="zh-CN"/>
        </w:rPr>
        <w:t>价</w:t>
      </w:r>
      <w:r>
        <w:rPr>
          <w:rFonts w:hint="eastAsia" w:ascii="仿宋" w:hAnsi="仿宋" w:eastAsia="仿宋" w:cs="仿宋"/>
          <w:sz w:val="24"/>
          <w:highlight w:val="none"/>
        </w:rPr>
        <w:t>包</w:t>
      </w:r>
      <w:r>
        <w:rPr>
          <w:rFonts w:hint="eastAsia" w:ascii="仿宋" w:hAnsi="仿宋" w:eastAsia="仿宋" w:cs="仿宋"/>
          <w:sz w:val="24"/>
          <w:highlight w:val="none"/>
          <w:u w:val="none"/>
        </w:rPr>
        <w:t>括：包括</w:t>
      </w:r>
      <w:r>
        <w:rPr>
          <w:rFonts w:hint="eastAsia" w:ascii="仿宋" w:hAnsi="仿宋" w:eastAsia="仿宋" w:cs="仿宋"/>
          <w:sz w:val="24"/>
          <w:highlight w:val="none"/>
          <w:u w:val="none"/>
          <w:lang w:eastAsia="zh-CN"/>
        </w:rPr>
        <w:t>产品费</w:t>
      </w:r>
      <w:r>
        <w:rPr>
          <w:rFonts w:hint="eastAsia" w:ascii="仿宋" w:hAnsi="仿宋" w:eastAsia="仿宋" w:cs="仿宋"/>
          <w:sz w:val="24"/>
          <w:highlight w:val="none"/>
          <w:u w:val="none"/>
        </w:rPr>
        <w:t>、</w:t>
      </w:r>
      <w:r>
        <w:rPr>
          <w:rFonts w:hint="eastAsia" w:ascii="仿宋" w:hAnsi="仿宋" w:eastAsia="仿宋" w:cs="仿宋"/>
          <w:sz w:val="24"/>
          <w:highlight w:val="none"/>
          <w:u w:val="none"/>
          <w:lang w:eastAsia="zh-CN"/>
        </w:rPr>
        <w:t>运输</w:t>
      </w:r>
      <w:r>
        <w:rPr>
          <w:rFonts w:hint="eastAsia" w:ascii="仿宋" w:hAnsi="仿宋" w:eastAsia="仿宋" w:cs="仿宋"/>
          <w:sz w:val="24"/>
          <w:highlight w:val="none"/>
          <w:u w:val="none"/>
        </w:rPr>
        <w:t>费</w:t>
      </w:r>
      <w:r>
        <w:rPr>
          <w:rFonts w:hint="eastAsia" w:ascii="仿宋" w:hAnsi="仿宋" w:eastAsia="仿宋" w:cs="仿宋"/>
          <w:sz w:val="24"/>
          <w:highlight w:val="none"/>
          <w:u w:val="none"/>
          <w:lang w:eastAsia="zh-CN"/>
        </w:rPr>
        <w:t>、税费</w:t>
      </w:r>
      <w:r>
        <w:rPr>
          <w:rFonts w:hint="eastAsia" w:ascii="仿宋" w:hAnsi="仿宋" w:eastAsia="仿宋" w:cs="仿宋"/>
          <w:sz w:val="24"/>
          <w:highlight w:val="none"/>
          <w:u w:val="none"/>
        </w:rPr>
        <w:t>及其它</w:t>
      </w:r>
      <w:r>
        <w:rPr>
          <w:rFonts w:hint="eastAsia" w:ascii="仿宋" w:hAnsi="仿宋" w:eastAsia="仿宋" w:cs="仿宋"/>
          <w:sz w:val="24"/>
          <w:highlight w:val="none"/>
          <w:u w:val="none"/>
          <w:lang w:eastAsia="zh-CN"/>
        </w:rPr>
        <w:t>可能产生</w:t>
      </w:r>
      <w:r>
        <w:rPr>
          <w:rFonts w:hint="eastAsia" w:ascii="仿宋" w:hAnsi="仿宋" w:eastAsia="仿宋" w:cs="仿宋"/>
          <w:sz w:val="24"/>
          <w:highlight w:val="none"/>
          <w:u w:val="none"/>
        </w:rPr>
        <w:t>的</w:t>
      </w:r>
      <w:r>
        <w:rPr>
          <w:rFonts w:hint="eastAsia" w:ascii="仿宋" w:hAnsi="仿宋" w:eastAsia="仿宋" w:cs="仿宋"/>
          <w:sz w:val="24"/>
          <w:highlight w:val="none"/>
          <w:u w:val="none"/>
          <w:lang w:eastAsia="zh-CN"/>
        </w:rPr>
        <w:t>所有</w:t>
      </w:r>
      <w:r>
        <w:rPr>
          <w:rFonts w:hint="eastAsia" w:ascii="仿宋" w:hAnsi="仿宋" w:eastAsia="仿宋" w:cs="仿宋"/>
          <w:sz w:val="24"/>
          <w:highlight w:val="none"/>
          <w:u w:val="none"/>
        </w:rPr>
        <w:t>费用。</w:t>
      </w:r>
    </w:p>
    <w:p w14:paraId="30846654">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、合同价在合同实施过程中固定不变，不受市场价变化的影响。最终付款总价以甲方实际使用数量为准。</w:t>
      </w:r>
    </w:p>
    <w:p w14:paraId="2CCF784C">
      <w:pPr>
        <w:keepNext w:val="0"/>
        <w:keepLines w:val="0"/>
        <w:pageBreakBefore w:val="0"/>
        <w:kinsoku/>
        <w:wordWrap/>
        <w:overflowPunct/>
        <w:topLinePunct w:val="0"/>
        <w:bidi w:val="0"/>
        <w:adjustRightInd w:val="0"/>
        <w:snapToGrid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三、合同结算</w:t>
      </w:r>
    </w:p>
    <w:p w14:paraId="0FA2C3A4">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1、付款方式：</w:t>
      </w:r>
      <w:r>
        <w:rPr>
          <w:rFonts w:hint="eastAsia" w:ascii="仿宋" w:hAnsi="仿宋" w:eastAsia="仿宋" w:cs="仿宋"/>
          <w:sz w:val="24"/>
          <w:highlight w:val="none"/>
          <w:u w:val="single"/>
        </w:rPr>
        <w:t>银行转账，由</w:t>
      </w:r>
      <w:r>
        <w:rPr>
          <w:rFonts w:hint="eastAsia" w:ascii="仿宋" w:hAnsi="仿宋" w:eastAsia="仿宋" w:cs="仿宋"/>
          <w:sz w:val="24"/>
          <w:highlight w:val="none"/>
          <w:u w:val="single"/>
          <w:lang w:eastAsia="zh-CN"/>
        </w:rPr>
        <w:t>甲方</w:t>
      </w:r>
      <w:r>
        <w:rPr>
          <w:rFonts w:hint="eastAsia" w:ascii="仿宋" w:hAnsi="仿宋" w:eastAsia="仿宋" w:cs="仿宋"/>
          <w:sz w:val="24"/>
          <w:highlight w:val="none"/>
          <w:u w:val="single"/>
        </w:rPr>
        <w:t>负责结算，</w:t>
      </w:r>
      <w:r>
        <w:rPr>
          <w:rFonts w:hint="eastAsia" w:ascii="仿宋" w:hAnsi="仿宋" w:eastAsia="仿宋" w:cs="仿宋"/>
          <w:sz w:val="24"/>
          <w:highlight w:val="none"/>
          <w:u w:val="single"/>
          <w:lang w:eastAsia="zh-CN"/>
        </w:rPr>
        <w:t>乙方</w:t>
      </w:r>
      <w:r>
        <w:rPr>
          <w:rFonts w:hint="eastAsia" w:ascii="仿宋" w:hAnsi="仿宋" w:eastAsia="仿宋" w:cs="仿宋"/>
          <w:sz w:val="24"/>
          <w:highlight w:val="none"/>
          <w:u w:val="single"/>
        </w:rPr>
        <w:t>必须开具全额发票给</w:t>
      </w:r>
      <w:r>
        <w:rPr>
          <w:rFonts w:hint="eastAsia" w:ascii="仿宋" w:hAnsi="仿宋" w:eastAsia="仿宋" w:cs="仿宋"/>
          <w:sz w:val="24"/>
          <w:highlight w:val="none"/>
          <w:u w:val="single"/>
          <w:lang w:eastAsia="zh-CN"/>
        </w:rPr>
        <w:t>甲方</w:t>
      </w:r>
      <w:r>
        <w:rPr>
          <w:rFonts w:hint="eastAsia" w:ascii="仿宋" w:hAnsi="仿宋" w:eastAsia="仿宋" w:cs="仿宋"/>
          <w:sz w:val="24"/>
          <w:highlight w:val="none"/>
          <w:u w:val="single"/>
        </w:rPr>
        <w:t>，并附详细清单。如非</w:t>
      </w:r>
      <w:r>
        <w:rPr>
          <w:rFonts w:hint="eastAsia" w:ascii="仿宋" w:hAnsi="仿宋" w:eastAsia="仿宋" w:cs="仿宋"/>
          <w:sz w:val="24"/>
          <w:highlight w:val="none"/>
          <w:u w:val="single"/>
          <w:lang w:eastAsia="zh-CN"/>
        </w:rPr>
        <w:t>乙方</w:t>
      </w:r>
      <w:r>
        <w:rPr>
          <w:rFonts w:hint="eastAsia" w:ascii="仿宋" w:hAnsi="仿宋" w:eastAsia="仿宋" w:cs="仿宋"/>
          <w:sz w:val="24"/>
          <w:highlight w:val="none"/>
          <w:u w:val="single"/>
        </w:rPr>
        <w:t>所开具发票，甲方有权拒绝支付。</w:t>
      </w:r>
    </w:p>
    <w:p w14:paraId="3C856388">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u w:val="single"/>
          <w:lang w:eastAsia="zh-CN"/>
        </w:rPr>
      </w:pPr>
      <w:r>
        <w:rPr>
          <w:rFonts w:hint="eastAsia" w:ascii="仿宋" w:hAnsi="仿宋" w:eastAsia="仿宋" w:cs="仿宋"/>
          <w:sz w:val="24"/>
          <w:highlight w:val="none"/>
        </w:rPr>
        <w:t>2、结算方式：</w:t>
      </w:r>
      <w:r>
        <w:rPr>
          <w:rFonts w:hint="eastAsia" w:ascii="仿宋" w:hAnsi="仿宋" w:eastAsia="仿宋" w:cs="仿宋"/>
          <w:sz w:val="24"/>
          <w:highlight w:val="none"/>
          <w:u w:val="single"/>
        </w:rPr>
        <w:t>合同签订后根据</w:t>
      </w:r>
      <w:r>
        <w:rPr>
          <w:rFonts w:hint="eastAsia" w:ascii="仿宋" w:hAnsi="仿宋" w:eastAsia="仿宋" w:cs="仿宋"/>
          <w:sz w:val="24"/>
          <w:highlight w:val="none"/>
          <w:u w:val="single"/>
          <w:lang w:val="en-US" w:eastAsia="zh-CN"/>
        </w:rPr>
        <w:t>甲方</w:t>
      </w:r>
      <w:r>
        <w:rPr>
          <w:rFonts w:hint="eastAsia" w:ascii="仿宋" w:hAnsi="仿宋" w:eastAsia="仿宋" w:cs="仿宋"/>
          <w:sz w:val="24"/>
          <w:highlight w:val="none"/>
          <w:u w:val="single"/>
        </w:rPr>
        <w:t>工作实际需求对产品进行分批采购，分批付款。每批次产品经</w:t>
      </w:r>
      <w:r>
        <w:rPr>
          <w:rFonts w:hint="eastAsia" w:ascii="仿宋" w:hAnsi="仿宋" w:eastAsia="仿宋" w:cs="仿宋"/>
          <w:sz w:val="24"/>
          <w:highlight w:val="none"/>
          <w:u w:val="single"/>
          <w:lang w:val="en-US" w:eastAsia="zh-CN"/>
        </w:rPr>
        <w:t>甲方</w:t>
      </w:r>
      <w:r>
        <w:rPr>
          <w:rFonts w:hint="eastAsia" w:ascii="仿宋" w:hAnsi="仿宋" w:eastAsia="仿宋" w:cs="仿宋"/>
          <w:sz w:val="24"/>
          <w:highlight w:val="none"/>
          <w:u w:val="single"/>
        </w:rPr>
        <w:t>确认合格后一个月内，按实际收货量据实支付，达到付款条件起30个工作日内，支付该批次的合同金额100%</w:t>
      </w:r>
      <w:r>
        <w:rPr>
          <w:rFonts w:hint="eastAsia" w:ascii="仿宋" w:hAnsi="仿宋" w:eastAsia="仿宋" w:cs="仿宋"/>
          <w:sz w:val="24"/>
          <w:highlight w:val="none"/>
          <w:u w:val="single"/>
          <w:lang w:eastAsia="zh-CN"/>
        </w:rPr>
        <w:t>。</w:t>
      </w:r>
    </w:p>
    <w:p w14:paraId="0D30B2BA">
      <w:pPr>
        <w:keepNext w:val="0"/>
        <w:keepLines w:val="0"/>
        <w:pageBreakBefore w:val="0"/>
        <w:kinsoku/>
        <w:wordWrap/>
        <w:overflowPunct/>
        <w:topLinePunct w:val="0"/>
        <w:bidi w:val="0"/>
        <w:adjustRightInd w:val="0"/>
        <w:snapToGrid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四、交货条件</w:t>
      </w:r>
    </w:p>
    <w:p w14:paraId="64E48697">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u w:val="single"/>
        </w:rPr>
      </w:pPr>
      <w:r>
        <w:rPr>
          <w:rFonts w:hint="eastAsia" w:ascii="仿宋" w:hAnsi="仿宋" w:eastAsia="仿宋" w:cs="仿宋"/>
          <w:sz w:val="24"/>
          <w:highlight w:val="none"/>
        </w:rPr>
        <w:t>1、交货地点：</w:t>
      </w:r>
      <w:r>
        <w:rPr>
          <w:rFonts w:hint="eastAsia" w:ascii="仿宋" w:hAnsi="仿宋" w:eastAsia="仿宋" w:cs="仿宋"/>
          <w:sz w:val="24"/>
          <w:highlight w:val="none"/>
          <w:u w:val="single"/>
          <w:lang w:eastAsia="zh-CN"/>
        </w:rPr>
        <w:t>甲方</w:t>
      </w:r>
      <w:r>
        <w:rPr>
          <w:rFonts w:hint="eastAsia" w:ascii="仿宋" w:hAnsi="仿宋" w:eastAsia="仿宋" w:cs="仿宋"/>
          <w:sz w:val="24"/>
          <w:highlight w:val="none"/>
          <w:u w:val="single"/>
        </w:rPr>
        <w:t>指定地点。</w:t>
      </w:r>
    </w:p>
    <w:p w14:paraId="1F846A45">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交货期</w:t>
      </w:r>
      <w:r>
        <w:rPr>
          <w:rFonts w:hint="eastAsia" w:ascii="仿宋" w:hAnsi="仿宋" w:eastAsia="仿宋" w:cs="仿宋"/>
          <w:sz w:val="24"/>
          <w:highlight w:val="none"/>
        </w:rPr>
        <w:t>：</w:t>
      </w:r>
      <w:r>
        <w:rPr>
          <w:rFonts w:hint="eastAsia" w:ascii="仿宋" w:hAnsi="仿宋" w:eastAsia="仿宋" w:cs="仿宋"/>
          <w:sz w:val="24"/>
          <w:highlight w:val="none"/>
          <w:u w:val="none"/>
          <w:lang w:eastAsia="zh-CN"/>
        </w:rPr>
        <w:t>自合同</w:t>
      </w:r>
      <w:r>
        <w:rPr>
          <w:rFonts w:hint="eastAsia" w:ascii="仿宋" w:hAnsi="仿宋" w:eastAsia="仿宋" w:cs="仿宋"/>
          <w:sz w:val="24"/>
          <w:highlight w:val="none"/>
          <w:u w:val="none"/>
        </w:rPr>
        <w:t>签订</w:t>
      </w:r>
      <w:r>
        <w:rPr>
          <w:rFonts w:hint="eastAsia" w:ascii="仿宋" w:hAnsi="仿宋" w:eastAsia="仿宋" w:cs="仿宋"/>
          <w:sz w:val="24"/>
          <w:highlight w:val="none"/>
          <w:u w:val="none"/>
          <w:lang w:eastAsia="zh-CN"/>
        </w:rPr>
        <w:t>之日起</w:t>
      </w:r>
      <w:r>
        <w:rPr>
          <w:rFonts w:hint="eastAsia" w:ascii="仿宋" w:hAnsi="仿宋" w:eastAsia="仿宋" w:cs="仿宋"/>
          <w:sz w:val="24"/>
          <w:highlight w:val="none"/>
          <w:u w:val="none"/>
          <w:lang w:val="en-US" w:eastAsia="zh-CN"/>
        </w:rPr>
        <w:t>12</w:t>
      </w:r>
      <w:r>
        <w:rPr>
          <w:rFonts w:hint="eastAsia" w:ascii="仿宋" w:hAnsi="仿宋" w:eastAsia="仿宋" w:cs="仿宋"/>
          <w:sz w:val="24"/>
          <w:highlight w:val="none"/>
          <w:u w:val="none"/>
        </w:rPr>
        <w:t>个月内，按照甲方需求分批供货，</w:t>
      </w:r>
      <w:r>
        <w:rPr>
          <w:rFonts w:hint="eastAsia" w:ascii="仿宋" w:hAnsi="仿宋" w:eastAsia="仿宋" w:cs="仿宋"/>
          <w:sz w:val="24"/>
          <w:highlight w:val="none"/>
          <w:u w:val="none"/>
          <w:lang w:eastAsia="zh-CN"/>
        </w:rPr>
        <w:t>每批货物</w:t>
      </w:r>
      <w:r>
        <w:rPr>
          <w:rFonts w:hint="eastAsia" w:ascii="仿宋" w:hAnsi="仿宋" w:eastAsia="仿宋" w:cs="仿宋"/>
          <w:sz w:val="24"/>
          <w:highlight w:val="none"/>
          <w:u w:val="none"/>
        </w:rPr>
        <w:t>接到甲方供货通知</w:t>
      </w:r>
      <w:r>
        <w:rPr>
          <w:rFonts w:hint="eastAsia" w:ascii="仿宋" w:hAnsi="仿宋" w:eastAsia="仿宋" w:cs="仿宋"/>
          <w:sz w:val="24"/>
          <w:highlight w:val="none"/>
          <w:u w:val="none"/>
          <w:lang w:eastAsia="zh-CN"/>
        </w:rPr>
        <w:t>后</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个日历日内交货。</w:t>
      </w:r>
    </w:p>
    <w:p w14:paraId="238BD750">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产品质保</w:t>
      </w:r>
      <w:r>
        <w:rPr>
          <w:rFonts w:hint="eastAsia" w:ascii="仿宋" w:hAnsi="仿宋" w:eastAsia="仿宋" w:cs="仿宋"/>
          <w:sz w:val="24"/>
          <w:highlight w:val="none"/>
        </w:rPr>
        <w:t>期：产品到交货地点时的有效期不低于</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个月。</w:t>
      </w:r>
    </w:p>
    <w:p w14:paraId="204D7796">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乙方</w:t>
      </w:r>
      <w:r>
        <w:rPr>
          <w:rFonts w:hint="eastAsia" w:ascii="仿宋" w:hAnsi="仿宋" w:eastAsia="仿宋" w:cs="仿宋"/>
          <w:sz w:val="24"/>
          <w:highlight w:val="none"/>
        </w:rPr>
        <w:t>必须提供投标时所展示的相关资料存档，如：</w:t>
      </w:r>
    </w:p>
    <w:p w14:paraId="127A11A5">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（1）《药品生产许可证》或《药品经营许可证》</w:t>
      </w:r>
      <w:r>
        <w:rPr>
          <w:rFonts w:hint="eastAsia" w:ascii="仿宋" w:hAnsi="仿宋" w:eastAsia="仿宋" w:cs="仿宋"/>
          <w:sz w:val="24"/>
          <w:highlight w:val="none"/>
          <w:lang w:eastAsia="zh-CN"/>
        </w:rPr>
        <w:t>、《医疗器械经营许可证》或《医疗器械生产许可证》</w:t>
      </w:r>
      <w:r>
        <w:rPr>
          <w:rFonts w:hint="eastAsia" w:ascii="仿宋" w:hAnsi="仿宋" w:eastAsia="仿宋" w:cs="仿宋"/>
          <w:sz w:val="24"/>
          <w:highlight w:val="none"/>
        </w:rPr>
        <w:t>及营业执照复印件；</w:t>
      </w:r>
    </w:p>
    <w:p w14:paraId="0EF5C51C">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（2）产品的批准证明文件复印件；</w:t>
      </w:r>
    </w:p>
    <w:p w14:paraId="1C45F308">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（3）销售人员有效身份证明复印件；</w:t>
      </w:r>
    </w:p>
    <w:p w14:paraId="0822515A">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（4）出厂质量检验报告等。</w:t>
      </w:r>
    </w:p>
    <w:p w14:paraId="5AFFD129">
      <w:pPr>
        <w:keepNext w:val="0"/>
        <w:keepLines w:val="0"/>
        <w:pageBreakBefore w:val="0"/>
        <w:kinsoku/>
        <w:wordWrap/>
        <w:overflowPunct/>
        <w:topLinePunct w:val="0"/>
        <w:bidi w:val="0"/>
        <w:adjustRightInd w:val="0"/>
        <w:snapToGrid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五、运输、包装</w:t>
      </w:r>
    </w:p>
    <w:p w14:paraId="7E9E500E">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5BB731FF">
      <w:pPr>
        <w:keepNext w:val="0"/>
        <w:keepLines w:val="0"/>
        <w:pageBreakBefore w:val="0"/>
        <w:kinsoku/>
        <w:wordWrap/>
        <w:overflowPunct/>
        <w:topLinePunct w:val="0"/>
        <w:bidi w:val="0"/>
        <w:adjustRightInd w:val="0"/>
        <w:snapToGrid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六、质量保证</w:t>
      </w:r>
    </w:p>
    <w:p w14:paraId="7605C137">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1、乙方所供产品应符合《中国药典》及《血站技术操作规程》中有关血液检测产品或耗材的相关要求。</w:t>
      </w:r>
    </w:p>
    <w:p w14:paraId="32792786">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2、使用中因乙方产品质量所引发的各种赔偿责任（如医疗纠纷）由厂家或供货商负责协调解决。</w:t>
      </w:r>
    </w:p>
    <w:p w14:paraId="509CAF68">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3、因质量问题而发生的争议，由具有资质的法定部门做出质量鉴定，该检验结果为最终结果，检验费用由乙方承担。</w:t>
      </w:r>
    </w:p>
    <w:p w14:paraId="5CB85D48">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4、对于存在质量问题或者短少的产品，</w:t>
      </w:r>
      <w:r>
        <w:rPr>
          <w:rFonts w:hint="eastAsia" w:ascii="仿宋" w:hAnsi="仿宋" w:eastAsia="仿宋" w:cs="仿宋"/>
          <w:sz w:val="24"/>
          <w:highlight w:val="none"/>
          <w:lang w:eastAsia="zh-CN"/>
        </w:rPr>
        <w:t>乙方</w:t>
      </w:r>
      <w:r>
        <w:rPr>
          <w:rFonts w:hint="eastAsia" w:ascii="仿宋" w:hAnsi="仿宋" w:eastAsia="仿宋" w:cs="仿宋"/>
          <w:sz w:val="24"/>
          <w:highlight w:val="none"/>
        </w:rPr>
        <w:t>应在接到</w:t>
      </w:r>
      <w:r>
        <w:rPr>
          <w:rFonts w:hint="eastAsia" w:ascii="仿宋" w:hAnsi="仿宋" w:eastAsia="仿宋" w:cs="仿宋"/>
          <w:sz w:val="24"/>
          <w:highlight w:val="none"/>
          <w:lang w:eastAsia="zh-CN"/>
        </w:rPr>
        <w:t>甲方</w:t>
      </w:r>
      <w:r>
        <w:rPr>
          <w:rFonts w:hint="eastAsia" w:ascii="仿宋" w:hAnsi="仿宋" w:eastAsia="仿宋" w:cs="仿宋"/>
          <w:sz w:val="24"/>
          <w:highlight w:val="none"/>
        </w:rPr>
        <w:t>的通知5个日历日内负责调换或补齐。</w:t>
      </w:r>
    </w:p>
    <w:p w14:paraId="24B61E00">
      <w:pPr>
        <w:keepNext w:val="0"/>
        <w:keepLines w:val="0"/>
        <w:pageBreakBefore w:val="0"/>
        <w:tabs>
          <w:tab w:val="left" w:pos="480"/>
        </w:tabs>
        <w:kinsoku/>
        <w:wordWrap/>
        <w:overflowPunct/>
        <w:topLinePunct w:val="0"/>
        <w:bidi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七、验收</w:t>
      </w:r>
    </w:p>
    <w:p w14:paraId="6C689149">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由</w:t>
      </w:r>
      <w:r>
        <w:rPr>
          <w:rFonts w:hint="eastAsia" w:ascii="仿宋" w:hAnsi="仿宋" w:eastAsia="仿宋" w:cs="仿宋"/>
          <w:sz w:val="24"/>
          <w:highlight w:val="none"/>
          <w:lang w:eastAsia="zh-CN"/>
        </w:rPr>
        <w:t>甲方</w:t>
      </w:r>
      <w:r>
        <w:rPr>
          <w:rFonts w:hint="eastAsia" w:ascii="仿宋" w:hAnsi="仿宋" w:eastAsia="仿宋" w:cs="仿宋"/>
          <w:sz w:val="24"/>
          <w:highlight w:val="none"/>
        </w:rPr>
        <w:t>和</w:t>
      </w:r>
      <w:r>
        <w:rPr>
          <w:rFonts w:hint="eastAsia" w:ascii="仿宋" w:hAnsi="仿宋" w:eastAsia="仿宋" w:cs="仿宋"/>
          <w:sz w:val="24"/>
          <w:highlight w:val="none"/>
          <w:lang w:eastAsia="zh-CN"/>
        </w:rPr>
        <w:t>乙方</w:t>
      </w:r>
      <w:r>
        <w:rPr>
          <w:rFonts w:hint="eastAsia" w:ascii="仿宋" w:hAnsi="仿宋" w:eastAsia="仿宋" w:cs="仿宋"/>
          <w:sz w:val="24"/>
          <w:highlight w:val="none"/>
        </w:rPr>
        <w:t>共同对项目整体进行验收，应当在15个日历日内完成。其内容包括确认产品的产地、规格、型号和数量，对其产品技术指标、性能参数是否达到现行国家有关验收规范“合格”标准进行逐项检查。</w:t>
      </w:r>
    </w:p>
    <w:p w14:paraId="11F4BB67">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w:t>
      </w:r>
      <w:r>
        <w:rPr>
          <w:rFonts w:hint="eastAsia" w:ascii="仿宋" w:hAnsi="仿宋" w:eastAsia="仿宋" w:cs="仿宋"/>
          <w:sz w:val="24"/>
          <w:highlight w:val="none"/>
        </w:rPr>
        <w:t>所验产品的指标、性能参数通过验收达不到招标文件要求和投标文件承诺的，或在使用中发现</w:t>
      </w:r>
      <w:r>
        <w:rPr>
          <w:rFonts w:hint="eastAsia" w:ascii="仿宋" w:hAnsi="仿宋" w:eastAsia="仿宋" w:cs="仿宋"/>
          <w:sz w:val="24"/>
          <w:highlight w:val="none"/>
          <w:lang w:eastAsia="zh-CN"/>
        </w:rPr>
        <w:t>甲方</w:t>
      </w:r>
      <w:r>
        <w:rPr>
          <w:rFonts w:hint="eastAsia" w:ascii="仿宋" w:hAnsi="仿宋" w:eastAsia="仿宋" w:cs="仿宋"/>
          <w:sz w:val="24"/>
          <w:highlight w:val="none"/>
        </w:rPr>
        <w:t>不能容忍的缺陷等，将视为产品验收不合格，</w:t>
      </w:r>
      <w:r>
        <w:rPr>
          <w:rFonts w:hint="eastAsia" w:ascii="仿宋" w:hAnsi="仿宋" w:eastAsia="仿宋" w:cs="仿宋"/>
          <w:sz w:val="24"/>
          <w:highlight w:val="none"/>
          <w:lang w:eastAsia="zh-CN"/>
        </w:rPr>
        <w:t>乙方</w:t>
      </w:r>
      <w:r>
        <w:rPr>
          <w:rFonts w:hint="eastAsia" w:ascii="仿宋" w:hAnsi="仿宋" w:eastAsia="仿宋" w:cs="仿宋"/>
          <w:sz w:val="24"/>
          <w:highlight w:val="none"/>
        </w:rPr>
        <w:t>应无条件免费更换或退货。</w:t>
      </w:r>
    </w:p>
    <w:p w14:paraId="026F78ED">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w:t>
      </w:r>
      <w:r>
        <w:rPr>
          <w:rFonts w:hint="eastAsia" w:ascii="仿宋" w:hAnsi="仿宋" w:eastAsia="仿宋" w:cs="仿宋"/>
          <w:sz w:val="24"/>
          <w:highlight w:val="none"/>
        </w:rPr>
        <w:t>若发现</w:t>
      </w:r>
      <w:r>
        <w:rPr>
          <w:rFonts w:hint="eastAsia" w:ascii="仿宋" w:hAnsi="仿宋" w:eastAsia="仿宋" w:cs="仿宋"/>
          <w:sz w:val="24"/>
          <w:highlight w:val="none"/>
          <w:lang w:eastAsia="zh-CN"/>
        </w:rPr>
        <w:t>乙方</w:t>
      </w:r>
      <w:r>
        <w:rPr>
          <w:rFonts w:hint="eastAsia" w:ascii="仿宋" w:hAnsi="仿宋" w:eastAsia="仿宋" w:cs="仿宋"/>
          <w:sz w:val="24"/>
          <w:highlight w:val="none"/>
        </w:rPr>
        <w:t>有弄虚作假的，在招标阶段故意或随意夸大产品技术性能，</w:t>
      </w:r>
      <w:r>
        <w:rPr>
          <w:rFonts w:hint="eastAsia" w:ascii="仿宋" w:hAnsi="仿宋" w:eastAsia="仿宋" w:cs="仿宋"/>
          <w:sz w:val="24"/>
          <w:highlight w:val="none"/>
          <w:lang w:eastAsia="zh-CN"/>
        </w:rPr>
        <w:t>乙方</w:t>
      </w:r>
      <w:r>
        <w:rPr>
          <w:rFonts w:hint="eastAsia" w:ascii="仿宋" w:hAnsi="仿宋" w:eastAsia="仿宋" w:cs="仿宋"/>
          <w:sz w:val="24"/>
          <w:highlight w:val="none"/>
        </w:rPr>
        <w:t>应无条件退货，并赔偿</w:t>
      </w:r>
      <w:r>
        <w:rPr>
          <w:rFonts w:hint="eastAsia" w:ascii="仿宋" w:hAnsi="仿宋" w:eastAsia="仿宋" w:cs="仿宋"/>
          <w:sz w:val="24"/>
          <w:highlight w:val="none"/>
          <w:lang w:eastAsia="zh-CN"/>
        </w:rPr>
        <w:t>甲方</w:t>
      </w:r>
      <w:r>
        <w:rPr>
          <w:rFonts w:hint="eastAsia" w:ascii="仿宋" w:hAnsi="仿宋" w:eastAsia="仿宋" w:cs="仿宋"/>
          <w:sz w:val="24"/>
          <w:highlight w:val="none"/>
        </w:rPr>
        <w:t>相应的损失。</w:t>
      </w:r>
    </w:p>
    <w:p w14:paraId="5F7CEDD8">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w:t>
      </w:r>
      <w:r>
        <w:rPr>
          <w:rFonts w:hint="eastAsia" w:ascii="仿宋" w:hAnsi="仿宋" w:eastAsia="仿宋" w:cs="仿宋"/>
          <w:sz w:val="24"/>
          <w:highlight w:val="none"/>
        </w:rPr>
        <w:t>验收标准：按招标文件、</w:t>
      </w:r>
      <w:r>
        <w:rPr>
          <w:rFonts w:hint="eastAsia" w:ascii="仿宋" w:hAnsi="仿宋" w:eastAsia="仿宋" w:cs="仿宋"/>
          <w:sz w:val="24"/>
          <w:highlight w:val="none"/>
          <w:lang w:eastAsia="zh-CN"/>
        </w:rPr>
        <w:t>投标</w:t>
      </w:r>
      <w:r>
        <w:rPr>
          <w:rFonts w:hint="eastAsia" w:ascii="仿宋" w:hAnsi="仿宋" w:eastAsia="仿宋" w:cs="仿宋"/>
          <w:sz w:val="24"/>
          <w:highlight w:val="none"/>
        </w:rPr>
        <w:t>文件及澄清函等技术指标进行验收。各项指标均应符合验收标准及要求。</w:t>
      </w:r>
    </w:p>
    <w:p w14:paraId="2C65475E">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w:t>
      </w:r>
      <w:r>
        <w:rPr>
          <w:rFonts w:hint="eastAsia" w:ascii="仿宋" w:hAnsi="仿宋" w:eastAsia="仿宋" w:cs="仿宋"/>
          <w:sz w:val="24"/>
          <w:highlight w:val="none"/>
        </w:rPr>
        <w:t>验收合格后，填写验收单，双方签字生效。</w:t>
      </w:r>
    </w:p>
    <w:p w14:paraId="18A45CAA">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w:t>
      </w:r>
      <w:r>
        <w:rPr>
          <w:rFonts w:hint="eastAsia" w:ascii="仿宋" w:hAnsi="仿宋" w:eastAsia="仿宋" w:cs="仿宋"/>
          <w:sz w:val="24"/>
          <w:highlight w:val="none"/>
        </w:rPr>
        <w:t>验收依据：合同文本；投标文件及澄清函、招标文件；国家和行业制定的相应的标准和规范；产品验收清单（注明品名、数量、规格型号和原产地或生产厂家）。</w:t>
      </w:r>
    </w:p>
    <w:p w14:paraId="61DC5F09">
      <w:pPr>
        <w:keepNext w:val="0"/>
        <w:keepLines w:val="0"/>
        <w:pageBreakBefore w:val="0"/>
        <w:tabs>
          <w:tab w:val="left" w:pos="480"/>
        </w:tabs>
        <w:kinsoku/>
        <w:wordWrap/>
        <w:overflowPunct/>
        <w:topLinePunct w:val="0"/>
        <w:bidi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八、双方的权利和义务</w:t>
      </w:r>
    </w:p>
    <w:p w14:paraId="53317FB4">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1、乙方应全力支持甲方组织无偿献血活动，并积极配合、参与无偿献血事业的宣传。</w:t>
      </w:r>
    </w:p>
    <w:p w14:paraId="7F9B33F9">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2、乙方应保证甲方在使用该产品或其任何一部分时免受第三方提出侵犯其专利权、商标权或工业设计权的起诉。</w:t>
      </w:r>
    </w:p>
    <w:p w14:paraId="53766B2D">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3、产品质量不符合合同规定时，乙方负责包退包换。由于上述原因导致延误交货时间的，每延误一日，乙方应按逾期交货部分产品价款总值的5‰向甲方偿付违约金。</w:t>
      </w:r>
    </w:p>
    <w:p w14:paraId="52FBE058">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w:t>
      </w:r>
      <w:r>
        <w:rPr>
          <w:rFonts w:hint="eastAsia" w:ascii="仿宋" w:hAnsi="仿宋" w:eastAsia="仿宋" w:cs="仿宋"/>
          <w:sz w:val="24"/>
          <w:highlight w:val="none"/>
        </w:rPr>
        <w:t>除不可抗力因素外，如果乙方不能按照合同规定的时间交货，应及时以书面形式将延迟的事实、可能延迟的时间和原因通知甲方。甲方收到乙方通知后，将尽快作出评价，决定是否同意延长</w:t>
      </w:r>
      <w:r>
        <w:rPr>
          <w:rFonts w:hint="eastAsia" w:ascii="仿宋" w:hAnsi="仿宋" w:eastAsia="仿宋" w:cs="仿宋"/>
          <w:sz w:val="24"/>
          <w:highlight w:val="none"/>
          <w:lang w:eastAsia="zh-CN"/>
        </w:rPr>
        <w:t>交货期</w:t>
      </w:r>
      <w:r>
        <w:rPr>
          <w:rFonts w:hint="eastAsia" w:ascii="仿宋" w:hAnsi="仿宋" w:eastAsia="仿宋" w:cs="仿宋"/>
          <w:sz w:val="24"/>
          <w:highlight w:val="none"/>
        </w:rPr>
        <w:t>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4F39540C">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周的赔偿费按迟交货物交货价或未提供服务的服务费用的百分之一（1%）计收，直至交货或提供服务为止。误期赔偿费的最高限额为合同价格的百分之五（5%）。一旦达到误期赔偿费的最高限额，甲方可终止合同。</w:t>
      </w:r>
    </w:p>
    <w:p w14:paraId="47886B3F">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6、如遇不可抗拒因素，甲方可终止合同。</w:t>
      </w:r>
    </w:p>
    <w:p w14:paraId="4A8CCBC0">
      <w:pPr>
        <w:keepNext w:val="0"/>
        <w:keepLines w:val="0"/>
        <w:pageBreakBefore w:val="0"/>
        <w:tabs>
          <w:tab w:val="left" w:pos="480"/>
        </w:tabs>
        <w:kinsoku/>
        <w:wordWrap/>
        <w:overflowPunct/>
        <w:topLinePunct w:val="0"/>
        <w:bidi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十、违约责任</w:t>
      </w:r>
    </w:p>
    <w:p w14:paraId="1B1BEB78">
      <w:pPr>
        <w:keepNext w:val="0"/>
        <w:keepLines w:val="0"/>
        <w:pageBreakBefore w:val="0"/>
        <w:kinsoku/>
        <w:wordWrap/>
        <w:overflowPunct/>
        <w:topLinePunct w:val="0"/>
        <w:bidi w:val="0"/>
        <w:snapToGrid w:val="0"/>
        <w:spacing w:line="540" w:lineRule="exact"/>
        <w:ind w:right="893"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1、按《</w:t>
      </w:r>
      <w:r>
        <w:rPr>
          <w:rFonts w:hint="eastAsia" w:ascii="仿宋" w:hAnsi="仿宋" w:eastAsia="仿宋" w:cs="仿宋"/>
          <w:sz w:val="24"/>
          <w:highlight w:val="none"/>
          <w:lang w:eastAsia="zh-CN"/>
        </w:rPr>
        <w:t>中华人民共和国民法典</w:t>
      </w:r>
      <w:r>
        <w:rPr>
          <w:rFonts w:hint="eastAsia" w:ascii="仿宋" w:hAnsi="仿宋" w:eastAsia="仿宋" w:cs="仿宋"/>
          <w:sz w:val="24"/>
          <w:highlight w:val="none"/>
        </w:rPr>
        <w:t>》中的相关条款执行。</w:t>
      </w:r>
    </w:p>
    <w:p w14:paraId="5E90950C">
      <w:pPr>
        <w:keepNext w:val="0"/>
        <w:keepLines w:val="0"/>
        <w:pageBreakBefore w:val="0"/>
        <w:kinsoku/>
        <w:wordWrap/>
        <w:overflowPunct/>
        <w:topLinePunct w:val="0"/>
        <w:bidi w:val="0"/>
        <w:adjustRightInd w:val="0"/>
        <w:snapToGrid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2、如乙方事先未征得甲方同意并得到甲方的谅解而单方面延迟交货，将按违约终止合同。</w:t>
      </w:r>
    </w:p>
    <w:p w14:paraId="51FAE9C5">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b/>
          <w:bCs/>
          <w:sz w:val="24"/>
          <w:highlight w:val="none"/>
        </w:rPr>
      </w:pPr>
      <w:r>
        <w:rPr>
          <w:rFonts w:hint="eastAsia" w:ascii="仿宋" w:hAnsi="仿宋" w:eastAsia="仿宋" w:cs="仿宋"/>
          <w:sz w:val="24"/>
          <w:highlight w:val="none"/>
        </w:rPr>
        <w:t>3、违约终止合同：未按合同要求提供货物或质量不能满足技术要求，甲方会同监督机构有权终止合同，对乙方违约行为进行追究，同时按政府采购法的有关规定进行相应的处罚。</w:t>
      </w:r>
    </w:p>
    <w:p w14:paraId="70417516">
      <w:pPr>
        <w:keepNext w:val="0"/>
        <w:keepLines w:val="0"/>
        <w:pageBreakBefore w:val="0"/>
        <w:tabs>
          <w:tab w:val="left" w:pos="480"/>
        </w:tabs>
        <w:kinsoku/>
        <w:wordWrap/>
        <w:overflowPunct/>
        <w:topLinePunct w:val="0"/>
        <w:bidi w:val="0"/>
        <w:spacing w:line="540" w:lineRule="exact"/>
        <w:textAlignment w:val="auto"/>
        <w:outlineLvl w:val="9"/>
        <w:rPr>
          <w:rFonts w:hint="eastAsia" w:ascii="仿宋" w:hAnsi="仿宋" w:eastAsia="仿宋" w:cs="仿宋"/>
          <w:b/>
          <w:bCs/>
          <w:sz w:val="24"/>
          <w:highlight w:val="none"/>
        </w:rPr>
      </w:pPr>
      <w:r>
        <w:rPr>
          <w:rFonts w:hint="eastAsia" w:ascii="仿宋" w:hAnsi="仿宋" w:eastAsia="仿宋" w:cs="仿宋"/>
          <w:b/>
          <w:bCs/>
          <w:sz w:val="24"/>
          <w:highlight w:val="none"/>
        </w:rPr>
        <w:t>十一、争议的解决</w:t>
      </w:r>
    </w:p>
    <w:p w14:paraId="645BBA75">
      <w:pPr>
        <w:keepNext w:val="0"/>
        <w:keepLines w:val="0"/>
        <w:pageBreakBefore w:val="0"/>
        <w:tabs>
          <w:tab w:val="left" w:pos="480"/>
        </w:tabs>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本合同在履行过程中发生的争议，由甲、乙双方当事人协商解决，协商不成的</w:t>
      </w:r>
      <w:r>
        <w:rPr>
          <w:rFonts w:hint="eastAsia" w:ascii="仿宋" w:hAnsi="仿宋" w:eastAsia="仿宋" w:cs="仿宋"/>
          <w:sz w:val="24"/>
          <w:highlight w:val="none"/>
          <w:lang w:eastAsia="zh-CN"/>
        </w:rPr>
        <w:t>，</w:t>
      </w:r>
      <w:r>
        <w:rPr>
          <w:rFonts w:hint="eastAsia" w:ascii="仿宋" w:hAnsi="仿宋" w:eastAsia="仿宋" w:cs="仿宋"/>
          <w:sz w:val="24"/>
          <w:highlight w:val="none"/>
        </w:rPr>
        <w:t>提交</w:t>
      </w:r>
      <w:r>
        <w:rPr>
          <w:rFonts w:hint="eastAsia" w:ascii="仿宋" w:hAnsi="仿宋" w:eastAsia="仿宋" w:cs="仿宋"/>
          <w:sz w:val="24"/>
          <w:highlight w:val="none"/>
          <w:lang w:eastAsia="zh-CN"/>
        </w:rPr>
        <w:t>甲方所在地</w:t>
      </w:r>
      <w:r>
        <w:rPr>
          <w:rFonts w:hint="eastAsia" w:ascii="仿宋" w:hAnsi="仿宋" w:eastAsia="仿宋" w:cs="仿宋"/>
          <w:sz w:val="24"/>
          <w:highlight w:val="none"/>
        </w:rPr>
        <w:t>仲裁委员会</w:t>
      </w:r>
      <w:r>
        <w:rPr>
          <w:rFonts w:hint="eastAsia" w:ascii="仿宋" w:hAnsi="仿宋" w:eastAsia="仿宋" w:cs="仿宋"/>
          <w:sz w:val="24"/>
          <w:highlight w:val="none"/>
          <w:lang w:eastAsia="zh-CN"/>
        </w:rPr>
        <w:t>裁决。</w:t>
      </w:r>
    </w:p>
    <w:p w14:paraId="1B3F8801">
      <w:pPr>
        <w:keepNext w:val="0"/>
        <w:keepLines w:val="0"/>
        <w:pageBreakBefore w:val="0"/>
        <w:widowControl/>
        <w:kinsoku/>
        <w:wordWrap/>
        <w:overflowPunct/>
        <w:topLinePunct w:val="0"/>
        <w:bidi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十二、合同生效</w:t>
      </w:r>
    </w:p>
    <w:p w14:paraId="5B6E99E8">
      <w:pPr>
        <w:keepNext w:val="0"/>
        <w:keepLines w:val="0"/>
        <w:pageBreakBefore w:val="0"/>
        <w:kinsoku/>
        <w:wordWrap/>
        <w:overflowPunct/>
        <w:topLinePunct w:val="0"/>
        <w:bidi w:val="0"/>
        <w:spacing w:line="540" w:lineRule="exact"/>
        <w:ind w:firstLine="480" w:firstLineChars="2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本合同一式</w:t>
      </w:r>
      <w:r>
        <w:rPr>
          <w:rFonts w:hint="eastAsia" w:ascii="仿宋" w:hAnsi="仿宋" w:eastAsia="仿宋" w:cs="仿宋"/>
          <w:sz w:val="24"/>
          <w:highlight w:val="none"/>
          <w:lang w:eastAsia="zh-CN"/>
        </w:rPr>
        <w:t>肆</w:t>
      </w:r>
      <w:r>
        <w:rPr>
          <w:rFonts w:hint="eastAsia" w:ascii="仿宋" w:hAnsi="仿宋" w:eastAsia="仿宋" w:cs="仿宋"/>
          <w:sz w:val="24"/>
          <w:highlight w:val="none"/>
        </w:rPr>
        <w:t>份，甲方执</w:t>
      </w:r>
      <w:r>
        <w:rPr>
          <w:rFonts w:hint="eastAsia" w:ascii="仿宋" w:hAnsi="仿宋" w:eastAsia="仿宋" w:cs="仿宋"/>
          <w:sz w:val="24"/>
          <w:highlight w:val="none"/>
          <w:lang w:eastAsia="zh-CN"/>
        </w:rPr>
        <w:t>贰</w:t>
      </w:r>
      <w:r>
        <w:rPr>
          <w:rFonts w:hint="eastAsia" w:ascii="仿宋" w:hAnsi="仿宋" w:eastAsia="仿宋" w:cs="仿宋"/>
          <w:sz w:val="24"/>
          <w:highlight w:val="none"/>
        </w:rPr>
        <w:t>份，乙方执壹份，代理机构壹份，甲、乙各方确认签字盖章后生效。有效期自</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日起至</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928FC78">
      <w:pPr>
        <w:keepNext w:val="0"/>
        <w:keepLines w:val="0"/>
        <w:pageBreakBefore w:val="0"/>
        <w:kinsoku/>
        <w:wordWrap/>
        <w:overflowPunct/>
        <w:topLinePunct w:val="0"/>
        <w:bidi w:val="0"/>
        <w:spacing w:line="540" w:lineRule="exact"/>
        <w:textAlignment w:val="auto"/>
        <w:outlineLvl w:val="9"/>
        <w:rPr>
          <w:rFonts w:hint="eastAsia" w:ascii="仿宋" w:hAnsi="仿宋" w:eastAsia="仿宋" w:cs="仿宋"/>
          <w:sz w:val="24"/>
          <w:highlight w:val="none"/>
        </w:rPr>
      </w:pPr>
      <w:r>
        <w:rPr>
          <w:rFonts w:hint="eastAsia" w:ascii="仿宋" w:hAnsi="仿宋" w:eastAsia="仿宋" w:cs="仿宋"/>
          <w:b/>
          <w:sz w:val="24"/>
          <w:highlight w:val="none"/>
        </w:rPr>
        <w:t>十三、其他事项</w:t>
      </w:r>
    </w:p>
    <w:p w14:paraId="3C8D98B6">
      <w:pPr>
        <w:keepNext w:val="0"/>
        <w:keepLines w:val="0"/>
        <w:pageBreakBefore w:val="0"/>
        <w:widowControl/>
        <w:kinsoku/>
        <w:wordWrap/>
        <w:overflowPunct/>
        <w:topLinePunct w:val="0"/>
        <w:bidi w:val="0"/>
        <w:spacing w:line="540" w:lineRule="exact"/>
        <w:ind w:firstLine="482"/>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（一）合同未尽事宜，由甲、乙双方协商确认后，作为合同补充，与原合同具有同等法律效力。</w:t>
      </w:r>
    </w:p>
    <w:p w14:paraId="29E65514">
      <w:pPr>
        <w:keepNext w:val="0"/>
        <w:keepLines w:val="0"/>
        <w:pageBreakBefore w:val="0"/>
        <w:widowControl/>
        <w:kinsoku/>
        <w:wordWrap/>
        <w:overflowPunct/>
        <w:topLinePunct w:val="0"/>
        <w:bidi w:val="0"/>
        <w:spacing w:line="540" w:lineRule="exact"/>
        <w:ind w:firstLine="482"/>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（二）合同一经签订，不得擅自变更、中止或终止合同。对确需变更、调整或中止、终止合同的，应按规定履行相应的手续。</w:t>
      </w:r>
    </w:p>
    <w:p w14:paraId="463E96CC">
      <w:pPr>
        <w:keepNext w:val="0"/>
        <w:keepLines w:val="0"/>
        <w:pageBreakBefore w:val="0"/>
        <w:widowControl/>
        <w:kinsoku/>
        <w:wordWrap/>
        <w:overflowPunct/>
        <w:topLinePunct w:val="0"/>
        <w:bidi w:val="0"/>
        <w:spacing w:line="540" w:lineRule="exact"/>
        <w:ind w:firstLine="482"/>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（三）本合同按照中华人民共和国的现行法律进行解释。</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7"/>
        <w:gridCol w:w="4550"/>
      </w:tblGrid>
      <w:tr w14:paraId="447E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4577" w:type="dxa"/>
            <w:noWrap w:val="0"/>
            <w:vAlign w:val="top"/>
          </w:tcPr>
          <w:p w14:paraId="69A9ED65">
            <w:pPr>
              <w:keepNext w:val="0"/>
              <w:keepLines w:val="0"/>
              <w:pageBreakBefore w:val="0"/>
              <w:kinsoku/>
              <w:wordWrap/>
              <w:overflowPunct/>
              <w:topLinePunct w:val="0"/>
              <w:autoSpaceDE w:val="0"/>
              <w:autoSpaceDN w:val="0"/>
              <w:bidi w:val="0"/>
              <w:adjustRightInd w:val="0"/>
              <w:spacing w:line="540" w:lineRule="exact"/>
              <w:jc w:val="center"/>
              <w:textAlignment w:val="auto"/>
              <w:outlineLvl w:val="9"/>
              <w:rPr>
                <w:rFonts w:hint="eastAsia" w:ascii="仿宋" w:hAnsi="仿宋" w:eastAsia="仿宋" w:cs="仿宋"/>
                <w:color w:val="000000"/>
                <w:spacing w:val="-20"/>
                <w:kern w:val="0"/>
                <w:sz w:val="24"/>
                <w:highlight w:val="none"/>
              </w:rPr>
            </w:pPr>
            <w:r>
              <w:rPr>
                <w:rFonts w:hint="eastAsia" w:ascii="仿宋" w:hAnsi="仿宋" w:eastAsia="仿宋" w:cs="仿宋"/>
                <w:color w:val="000000"/>
                <w:spacing w:val="-20"/>
                <w:kern w:val="0"/>
                <w:sz w:val="24"/>
                <w:highlight w:val="none"/>
              </w:rPr>
              <w:t>甲  方</w:t>
            </w:r>
          </w:p>
        </w:tc>
        <w:tc>
          <w:tcPr>
            <w:tcW w:w="4550" w:type="dxa"/>
            <w:noWrap w:val="0"/>
            <w:vAlign w:val="top"/>
          </w:tcPr>
          <w:p w14:paraId="114C5905">
            <w:pPr>
              <w:keepNext w:val="0"/>
              <w:keepLines w:val="0"/>
              <w:pageBreakBefore w:val="0"/>
              <w:kinsoku/>
              <w:wordWrap/>
              <w:overflowPunct/>
              <w:topLinePunct w:val="0"/>
              <w:autoSpaceDE w:val="0"/>
              <w:autoSpaceDN w:val="0"/>
              <w:bidi w:val="0"/>
              <w:adjustRightInd w:val="0"/>
              <w:spacing w:line="540" w:lineRule="exact"/>
              <w:jc w:val="center"/>
              <w:textAlignment w:val="auto"/>
              <w:outlineLvl w:val="9"/>
              <w:rPr>
                <w:rFonts w:hint="eastAsia" w:ascii="仿宋" w:hAnsi="仿宋" w:eastAsia="仿宋" w:cs="仿宋"/>
                <w:color w:val="000000"/>
                <w:spacing w:val="-20"/>
                <w:kern w:val="0"/>
                <w:sz w:val="24"/>
                <w:highlight w:val="none"/>
              </w:rPr>
            </w:pPr>
            <w:r>
              <w:rPr>
                <w:rFonts w:hint="eastAsia" w:ascii="仿宋" w:hAnsi="仿宋" w:eastAsia="仿宋" w:cs="仿宋"/>
                <w:color w:val="000000"/>
                <w:spacing w:val="-20"/>
                <w:kern w:val="0"/>
                <w:sz w:val="24"/>
                <w:highlight w:val="none"/>
              </w:rPr>
              <w:t>乙  方</w:t>
            </w:r>
          </w:p>
        </w:tc>
      </w:tr>
      <w:tr w14:paraId="1DF4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577" w:type="dxa"/>
            <w:noWrap w:val="0"/>
            <w:vAlign w:val="center"/>
          </w:tcPr>
          <w:p w14:paraId="15113925">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lang w:eastAsia="zh-CN"/>
              </w:rPr>
            </w:pPr>
            <w:r>
              <w:rPr>
                <w:rFonts w:hint="eastAsia" w:ascii="仿宋" w:hAnsi="仿宋" w:eastAsia="仿宋" w:cs="仿宋"/>
                <w:sz w:val="24"/>
                <w:highlight w:val="none"/>
              </w:rPr>
              <w:t>采购人名称（盖章）</w:t>
            </w:r>
            <w:r>
              <w:rPr>
                <w:rFonts w:hint="eastAsia" w:ascii="仿宋" w:hAnsi="仿宋" w:eastAsia="仿宋" w:cs="仿宋"/>
                <w:sz w:val="24"/>
                <w:highlight w:val="none"/>
                <w:lang w:eastAsia="zh-CN"/>
              </w:rPr>
              <w:t>：宝鸡市中心血站</w:t>
            </w:r>
          </w:p>
        </w:tc>
        <w:tc>
          <w:tcPr>
            <w:tcW w:w="4550" w:type="dxa"/>
            <w:noWrap w:val="0"/>
            <w:vAlign w:val="center"/>
          </w:tcPr>
          <w:p w14:paraId="57B89D8F">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lang w:eastAsia="zh-CN"/>
              </w:rPr>
            </w:pPr>
            <w:r>
              <w:rPr>
                <w:rFonts w:hint="eastAsia" w:ascii="仿宋" w:hAnsi="仿宋" w:eastAsia="仿宋" w:cs="仿宋"/>
                <w:sz w:val="24"/>
                <w:highlight w:val="none"/>
              </w:rPr>
              <w:t>中标供应商全称（盖章）</w:t>
            </w:r>
            <w:r>
              <w:rPr>
                <w:rFonts w:hint="eastAsia" w:ascii="仿宋" w:hAnsi="仿宋" w:eastAsia="仿宋" w:cs="仿宋"/>
                <w:sz w:val="24"/>
                <w:highlight w:val="none"/>
                <w:lang w:eastAsia="zh-CN"/>
              </w:rPr>
              <w:t>：</w:t>
            </w:r>
          </w:p>
        </w:tc>
      </w:tr>
      <w:tr w14:paraId="698B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7" w:type="dxa"/>
            <w:noWrap w:val="0"/>
            <w:vAlign w:val="top"/>
          </w:tcPr>
          <w:p w14:paraId="14E6C7D0">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lang w:val="en-US" w:eastAsia="zh-CN"/>
              </w:rPr>
            </w:pPr>
            <w:r>
              <w:rPr>
                <w:rFonts w:hint="eastAsia" w:ascii="仿宋" w:hAnsi="仿宋" w:eastAsia="仿宋" w:cs="仿宋"/>
                <w:sz w:val="24"/>
                <w:highlight w:val="none"/>
              </w:rPr>
              <w:t>地址：</w:t>
            </w:r>
            <w:r>
              <w:rPr>
                <w:rFonts w:hint="eastAsia" w:ascii="仿宋" w:hAnsi="仿宋" w:eastAsia="仿宋" w:cs="仿宋"/>
                <w:sz w:val="24"/>
                <w:highlight w:val="none"/>
                <w:lang w:val="en-US" w:eastAsia="zh-CN"/>
              </w:rPr>
              <w:t xml:space="preserve">                                                                                                                                                                                                                                                                                                                                                                                                                                                                                                                                                                                                                                                                                                                                                                                                                                                                                                                                                                                                                                                                                                                                                                                                                                                                                                                                                                                                                                                                                                                                                                                                                                                                                                                                                                                         </w:t>
            </w:r>
          </w:p>
        </w:tc>
        <w:tc>
          <w:tcPr>
            <w:tcW w:w="4550" w:type="dxa"/>
            <w:noWrap w:val="0"/>
            <w:vAlign w:val="top"/>
          </w:tcPr>
          <w:p w14:paraId="1D1ADA11">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地址：</w:t>
            </w:r>
          </w:p>
        </w:tc>
      </w:tr>
      <w:tr w14:paraId="6341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7" w:type="dxa"/>
            <w:noWrap w:val="0"/>
            <w:vAlign w:val="top"/>
          </w:tcPr>
          <w:p w14:paraId="3349C420">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邮编：721000</w:t>
            </w:r>
          </w:p>
        </w:tc>
        <w:tc>
          <w:tcPr>
            <w:tcW w:w="4550" w:type="dxa"/>
            <w:noWrap w:val="0"/>
            <w:vAlign w:val="top"/>
          </w:tcPr>
          <w:p w14:paraId="2382611B">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邮编：</w:t>
            </w:r>
          </w:p>
        </w:tc>
      </w:tr>
      <w:tr w14:paraId="70FF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7" w:type="dxa"/>
            <w:noWrap w:val="0"/>
            <w:vAlign w:val="top"/>
          </w:tcPr>
          <w:p w14:paraId="00A86BA2">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4550" w:type="dxa"/>
            <w:noWrap w:val="0"/>
            <w:vAlign w:val="top"/>
          </w:tcPr>
          <w:p w14:paraId="41F20A9C">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法定代表人：</w:t>
            </w:r>
          </w:p>
        </w:tc>
      </w:tr>
      <w:tr w14:paraId="427F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4577" w:type="dxa"/>
            <w:noWrap w:val="0"/>
            <w:vAlign w:val="center"/>
          </w:tcPr>
          <w:p w14:paraId="452D7E74">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被授权代表：（签字）</w:t>
            </w:r>
          </w:p>
        </w:tc>
        <w:tc>
          <w:tcPr>
            <w:tcW w:w="4550" w:type="dxa"/>
            <w:noWrap w:val="0"/>
            <w:vAlign w:val="center"/>
          </w:tcPr>
          <w:p w14:paraId="60D4ED60">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被授权代表：（签字）</w:t>
            </w:r>
          </w:p>
        </w:tc>
      </w:tr>
      <w:tr w14:paraId="0C36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7" w:type="dxa"/>
            <w:noWrap w:val="0"/>
            <w:vAlign w:val="top"/>
          </w:tcPr>
          <w:p w14:paraId="2DE11F2C">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电话：</w:t>
            </w:r>
            <w:r>
              <w:rPr>
                <w:rFonts w:hint="eastAsia" w:ascii="仿宋" w:hAnsi="仿宋" w:eastAsia="仿宋" w:cs="仿宋"/>
                <w:sz w:val="24"/>
                <w:highlight w:val="none"/>
                <w:lang w:val="en-US" w:eastAsia="zh-CN"/>
              </w:rPr>
              <w:t>0917-3563133</w:t>
            </w:r>
          </w:p>
        </w:tc>
        <w:tc>
          <w:tcPr>
            <w:tcW w:w="4550" w:type="dxa"/>
            <w:noWrap w:val="0"/>
            <w:vAlign w:val="top"/>
          </w:tcPr>
          <w:p w14:paraId="102FE20F">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联系人手机号：</w:t>
            </w:r>
          </w:p>
        </w:tc>
      </w:tr>
      <w:tr w14:paraId="183B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577" w:type="dxa"/>
            <w:noWrap w:val="0"/>
            <w:vAlign w:val="top"/>
          </w:tcPr>
          <w:p w14:paraId="2CB81562">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传真：</w:t>
            </w:r>
            <w:r>
              <w:rPr>
                <w:rFonts w:hint="eastAsia" w:ascii="仿宋" w:hAnsi="仿宋" w:eastAsia="仿宋" w:cs="仿宋"/>
                <w:sz w:val="24"/>
                <w:highlight w:val="none"/>
                <w:lang w:val="en-US" w:eastAsia="zh-CN"/>
              </w:rPr>
              <w:t>0917-3563133</w:t>
            </w:r>
          </w:p>
        </w:tc>
        <w:tc>
          <w:tcPr>
            <w:tcW w:w="4550" w:type="dxa"/>
            <w:noWrap w:val="0"/>
            <w:vAlign w:val="top"/>
          </w:tcPr>
          <w:p w14:paraId="0BF363FF">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电话/传真：</w:t>
            </w:r>
          </w:p>
        </w:tc>
      </w:tr>
      <w:tr w14:paraId="540A1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577" w:type="dxa"/>
            <w:noWrap w:val="0"/>
            <w:vAlign w:val="top"/>
          </w:tcPr>
          <w:p w14:paraId="496539A2">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lang w:eastAsia="zh-CN"/>
              </w:rPr>
            </w:pPr>
            <w:r>
              <w:rPr>
                <w:rFonts w:hint="eastAsia" w:ascii="仿宋" w:hAnsi="仿宋" w:eastAsia="仿宋" w:cs="仿宋"/>
                <w:sz w:val="24"/>
                <w:highlight w:val="none"/>
              </w:rPr>
              <w:t>开户银行：</w:t>
            </w:r>
            <w:r>
              <w:rPr>
                <w:rFonts w:hint="eastAsia" w:ascii="仿宋" w:hAnsi="仿宋" w:eastAsia="仿宋" w:cs="仿宋"/>
                <w:sz w:val="24"/>
                <w:highlight w:val="none"/>
                <w:lang w:eastAsia="zh-CN"/>
              </w:rPr>
              <w:t>中国工商银行宝鸡</w:t>
            </w:r>
            <w:r>
              <w:rPr>
                <w:rFonts w:hint="eastAsia" w:ascii="仿宋" w:hAnsi="仿宋" w:eastAsia="仿宋" w:cs="仿宋"/>
                <w:sz w:val="24"/>
                <w:highlight w:val="none"/>
              </w:rPr>
              <w:t>渭</w:t>
            </w:r>
            <w:r>
              <w:rPr>
                <w:rFonts w:hint="eastAsia" w:ascii="仿宋" w:hAnsi="仿宋" w:eastAsia="仿宋" w:cs="仿宋"/>
                <w:sz w:val="24"/>
                <w:highlight w:val="none"/>
                <w:lang w:eastAsia="zh-CN"/>
              </w:rPr>
              <w:t>滨支行</w:t>
            </w:r>
          </w:p>
        </w:tc>
        <w:tc>
          <w:tcPr>
            <w:tcW w:w="4550" w:type="dxa"/>
            <w:noWrap w:val="0"/>
            <w:vAlign w:val="top"/>
          </w:tcPr>
          <w:p w14:paraId="44F77A9E">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开户银行：</w:t>
            </w:r>
          </w:p>
        </w:tc>
      </w:tr>
      <w:tr w14:paraId="2B8D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7" w:type="dxa"/>
            <w:noWrap w:val="0"/>
            <w:vAlign w:val="top"/>
          </w:tcPr>
          <w:p w14:paraId="7F5C185A">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lang w:val="en-US" w:eastAsia="zh-CN"/>
              </w:rPr>
            </w:pPr>
            <w:r>
              <w:rPr>
                <w:rFonts w:hint="eastAsia" w:ascii="仿宋" w:hAnsi="仿宋" w:eastAsia="仿宋" w:cs="仿宋"/>
                <w:sz w:val="24"/>
                <w:highlight w:val="none"/>
              </w:rPr>
              <w:t>帐号：</w:t>
            </w:r>
            <w:r>
              <w:rPr>
                <w:rFonts w:hint="eastAsia" w:ascii="仿宋" w:hAnsi="仿宋" w:eastAsia="仿宋" w:cs="仿宋"/>
                <w:sz w:val="24"/>
                <w:highlight w:val="none"/>
                <w:lang w:val="en-US" w:eastAsia="zh-CN"/>
              </w:rPr>
              <w:t>2603020229200094379</w:t>
            </w:r>
          </w:p>
        </w:tc>
        <w:tc>
          <w:tcPr>
            <w:tcW w:w="4550" w:type="dxa"/>
            <w:noWrap w:val="0"/>
            <w:vAlign w:val="top"/>
          </w:tcPr>
          <w:p w14:paraId="253A792C">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帐号：</w:t>
            </w:r>
          </w:p>
        </w:tc>
      </w:tr>
      <w:tr w14:paraId="6945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577" w:type="dxa"/>
            <w:noWrap w:val="0"/>
            <w:vAlign w:val="top"/>
          </w:tcPr>
          <w:p w14:paraId="154D09C6">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日期：      年    月     日</w:t>
            </w:r>
          </w:p>
        </w:tc>
        <w:tc>
          <w:tcPr>
            <w:tcW w:w="4550" w:type="dxa"/>
            <w:noWrap w:val="0"/>
            <w:vAlign w:val="top"/>
          </w:tcPr>
          <w:p w14:paraId="255C3C16">
            <w:pPr>
              <w:keepNext w:val="0"/>
              <w:keepLines w:val="0"/>
              <w:pageBreakBefore w:val="0"/>
              <w:widowControl/>
              <w:kinsoku/>
              <w:wordWrap/>
              <w:overflowPunct/>
              <w:topLinePunct w:val="0"/>
              <w:bidi w:val="0"/>
              <w:spacing w:line="540" w:lineRule="exact"/>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日期：      年    月    日</w:t>
            </w:r>
          </w:p>
        </w:tc>
      </w:tr>
    </w:tbl>
    <w:p w14:paraId="4B1C1AC2">
      <w:pPr>
        <w:jc w:val="center"/>
        <w:rPr>
          <w:rFonts w:hint="eastAsia" w:ascii="仿宋" w:hAnsi="仿宋" w:eastAsia="仿宋" w:cs="仿宋"/>
          <w:color w:val="000000" w:themeColor="text1"/>
          <w:sz w:val="32"/>
          <w:szCs w:val="32"/>
          <w14:textFill>
            <w14:solidFill>
              <w14:schemeClr w14:val="tx1"/>
            </w14:solidFill>
          </w14:textFill>
        </w:rPr>
      </w:pPr>
      <w:r>
        <w:br w:type="page"/>
      </w:r>
      <w:bookmarkStart w:id="0" w:name="_GoBack"/>
      <w:bookmarkEnd w:id="0"/>
      <w:r>
        <w:rPr>
          <w:rFonts w:hint="eastAsia" w:ascii="仿宋" w:hAnsi="仿宋" w:eastAsia="仿宋" w:cs="仿宋"/>
          <w:b/>
          <w:color w:val="000000" w:themeColor="text1"/>
          <w:sz w:val="36"/>
          <w:szCs w:val="36"/>
          <w14:textFill>
            <w14:solidFill>
              <w14:schemeClr w14:val="tx1"/>
            </w14:solidFill>
          </w14:textFill>
        </w:rPr>
        <w:t>廉洁购销协议</w:t>
      </w:r>
    </w:p>
    <w:p w14:paraId="6C62108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甲方（医疗机构）：宝鸡市中心血站</w:t>
      </w:r>
    </w:p>
    <w:p w14:paraId="552ACBA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乙方（供应商）：</w:t>
      </w:r>
    </w:p>
    <w:p w14:paraId="380149FC">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认真贯彻落实国家卫生健康委、国家医保局、国家中医药局联合发布《关于印发医疗机构工作人员廉洁从业九项准则的通知》及《关于建立医药购销领域商业贿赂不良记录的规定》的通知，按照《宝鸡市中心血站货物工程服务采购管理办法》规定，进一步规范购销行为，有效防范商业贿赂行为，营造公平交易、诚实守信的购销环境。现经双方协商，同意签订廉洁购销协议，并共同遵守：</w:t>
      </w:r>
    </w:p>
    <w:p w14:paraId="27542130">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一、购销双方必须遵纪守法，严格执行上级关于纠正医药购销不正之风和治理商业贿赂等有关文件精神，严格执行采购制度。</w:t>
      </w:r>
    </w:p>
    <w:p w14:paraId="7933BCE6">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二、甲乙双方应当严格执行采购合同条款。</w:t>
      </w:r>
    </w:p>
    <w:p w14:paraId="3B5EA093">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三、甲方不得以任何方式向乙方索取回扣，或者索要、收受乙方产品发票价外的赞助，不得要求乙方代支任何费用开支。</w:t>
      </w:r>
    </w:p>
    <w:p w14:paraId="51B43282">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四、甲方不得借名义收受、暗示或索要经销商的回扣、物品、有价证券等违法行为。如有此情形，乙方应予拒绝，并有责任如实向我站监督部门反映。</w:t>
      </w:r>
    </w:p>
    <w:p w14:paraId="307303CF">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五、甲方工作人员如违反以上条款的，甲方将按国家有关法律、法规规定和有关廉政制度规定予以处理，涉嫌违法的，由执法执纪部门予以处理。</w:t>
      </w:r>
    </w:p>
    <w:p w14:paraId="3CEA8CC7">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六、乙方有义务向甲方提供合法有效的资质证明文件供甲方备案，并保证所供应的产品等必须符合国家法定质量标准。</w:t>
      </w:r>
    </w:p>
    <w:p w14:paraId="0F1B442C">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七、乙方不得以提成和赠送有价证券、名烟名酒、现金、购物卡、宴请、娱乐等不正当行为进行推销产品。</w:t>
      </w:r>
    </w:p>
    <w:p w14:paraId="1B281661">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八、乙方如违反上述条款，一经发现，甲方除终止购销合同外，还将其上报上级财政主管部门，列入不良行为记录，计入黑名单，造成经济损失的乙方需承担赔偿责任，涉嫌违法的，交由司法机关处理。</w:t>
      </w:r>
    </w:p>
    <w:p w14:paraId="15DDDC1E">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九、甲乙双方应共同遵守商业道德，友好合作，杜绝弄虚作假，商业欺诈，商业贿赂等不道德和非法行为，要规范合同行为，诚实守信，严格履行合同，绝不利用非法手段谋取不正当利益，公平公正处理业务。</w:t>
      </w:r>
    </w:p>
    <w:p w14:paraId="0877D04B">
      <w:pPr>
        <w:keepNext w:val="0"/>
        <w:keepLines w:val="0"/>
        <w:pageBreakBefore w:val="0"/>
        <w:widowControl w:val="0"/>
        <w:kinsoku/>
        <w:wordWrap/>
        <w:overflowPunct/>
        <w:topLinePunct w:val="0"/>
        <w:autoSpaceDE/>
        <w:autoSpaceDN/>
        <w:bidi w:val="0"/>
        <w:adjustRightInd/>
        <w:snapToGrid/>
        <w:spacing w:line="480" w:lineRule="auto"/>
        <w:ind w:firstLine="645"/>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十一、本协议书一式二份，甲乙双方各执一份，与购销合同一并执行，具有同等的法律效力。</w:t>
      </w:r>
    </w:p>
    <w:p w14:paraId="441A26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hNjQyNDIyY2FlMmMwMjZlNGEyMjRlMTBhNWY5NjEifQ=="/>
  </w:docVars>
  <w:rsids>
    <w:rsidRoot w:val="6F0F7E55"/>
    <w:rsid w:val="02E903DD"/>
    <w:rsid w:val="345C709A"/>
    <w:rsid w:val="398A4445"/>
    <w:rsid w:val="404763FE"/>
    <w:rsid w:val="6C146018"/>
    <w:rsid w:val="6D061B92"/>
    <w:rsid w:val="6F0F7E55"/>
    <w:rsid w:val="7CD71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Times New Roman" w:hAnsi="Times New Roman" w:eastAsia="楷体" w:cs="Times New Roman"/>
      <w:b/>
      <w:kern w:val="44"/>
      <w:sz w:val="30"/>
    </w:rPr>
  </w:style>
  <w:style w:type="paragraph" w:styleId="3">
    <w:name w:val="heading 2"/>
    <w:basedOn w:val="1"/>
    <w:next w:val="1"/>
    <w:semiHidden/>
    <w:unhideWhenUsed/>
    <w:qFormat/>
    <w:uiPriority w:val="0"/>
    <w:pPr>
      <w:keepNext/>
      <w:keepLines/>
      <w:spacing w:before="260" w:beforeLines="0" w:beforeAutospacing="0" w:after="260" w:afterLines="0" w:afterAutospacing="0" w:line="400" w:lineRule="exact"/>
      <w:jc w:val="center"/>
      <w:outlineLvl w:val="1"/>
    </w:pPr>
    <w:rPr>
      <w:rFonts w:ascii="Arial" w:hAnsi="Arial" w:eastAsia="楷体" w:cs="Times New Roman"/>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3276</Words>
  <Characters>3349</Characters>
  <Lines>0</Lines>
  <Paragraphs>0</Paragraphs>
  <TotalTime>0</TotalTime>
  <ScaleCrop>false</ScaleCrop>
  <LinksUpToDate>false</LinksUpToDate>
  <CharactersWithSpaces>5291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2026-07-27T06:12:00Z</dcterms:created>
  <dc:creator>candy</dc:creator>
  <cp:lastModifiedBy>-HUA-</cp:lastModifiedBy>
  <dcterms:modified xsi:type="dcterms:W3CDTF">2026-08-02T12:43:40Z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6E5782E65E7C4DD093F690CF0E9F4AD6_11</vt:lpwstr>
  </property>
  <property fmtid="{D5CDD505-2E9C-101B-9397-08002B2CF9AE}" pid="4" name="KSOTemplateDocerSaveRecord">
    <vt:lpwstr>eyJoZGlkIjoiNmNmZmU4ODM3NjIxMzNjYzMxMzM1MjJlNzA4YmQ2YzMiLCJ1c2VySWQiOiIyNTEzNzAxODUifQ==</vt:lpwstr>
  </property>
</Properties>
</file>