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版本号：SXLX-FW-2026-05820260805001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医用被服洗涤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SXLX-FW-2026-058</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医用被服洗涤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医用被服洗涤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负责医院工作服和病员服的收集、清运及洗涤。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采购包1（医用被服洗涤）：属于专门面向中小企业采购。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p>
      <w:pPr>
        <w:pStyle w:val="null3"/>
      </w:pPr>
      <w:r>
        <w:rPr>
          <w:rFonts w:ascii="仿宋_GB2312" w:hAnsi="仿宋_GB2312" w:cs="仿宋_GB2312" w:eastAsia="仿宋_GB2312"/>
        </w:rPr>
        <w:t>3、税收缴纳证明：提供磋商截止时间前一年内至少三个月的(磋商截止时间当月不计入)依法缴纳税收的相关凭据（时间以税款所属日期为准），凭据应有税务机关或代收机关的公章或业务专用章；依法免税或无须缴纳税收的供应商，应提供相应证明文件；或具有依法缴纳税收的诚信声明；并进行电子签章。</w:t>
      </w:r>
    </w:p>
    <w:p>
      <w:pPr>
        <w:pStyle w:val="null3"/>
      </w:pPr>
      <w:r>
        <w:rPr>
          <w:rFonts w:ascii="仿宋_GB2312" w:hAnsi="仿宋_GB2312" w:cs="仿宋_GB2312" w:eastAsia="仿宋_GB2312"/>
        </w:rPr>
        <w:t>4、社会保障资金缴纳证明：提供磋商截止时间前一年内至少三个月的(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p>
      <w:pPr>
        <w:pStyle w:val="null3"/>
      </w:pPr>
      <w:r>
        <w:rPr>
          <w:rFonts w:ascii="仿宋_GB2312" w:hAnsi="仿宋_GB2312" w:cs="仿宋_GB2312" w:eastAsia="仿宋_GB2312"/>
        </w:rPr>
        <w:t>5、书面声明：具有履行合同所必需的设备和专业技术能力的书面声明；</w:t>
      </w:r>
    </w:p>
    <w:p>
      <w:pPr>
        <w:pStyle w:val="null3"/>
      </w:pPr>
      <w:r>
        <w:rPr>
          <w:rFonts w:ascii="仿宋_GB2312" w:hAnsi="仿宋_GB2312" w:cs="仿宋_GB2312" w:eastAsia="仿宋_GB2312"/>
        </w:rPr>
        <w:t>6、无重大违法记录：近3年内在经营活动中没有重大违法记录的书面声明；</w:t>
      </w:r>
    </w:p>
    <w:p>
      <w:pPr>
        <w:pStyle w:val="null3"/>
      </w:pPr>
      <w:r>
        <w:rPr>
          <w:rFonts w:ascii="仿宋_GB2312" w:hAnsi="仿宋_GB2312" w:cs="仿宋_GB2312" w:eastAsia="仿宋_GB2312"/>
        </w:rPr>
        <w:t>7、供应商信用：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p>
      <w:pPr>
        <w:pStyle w:val="null3"/>
      </w:pPr>
      <w:r>
        <w:rPr>
          <w:rFonts w:ascii="仿宋_GB2312" w:hAnsi="仿宋_GB2312" w:cs="仿宋_GB2312" w:eastAsia="仿宋_GB2312"/>
        </w:rPr>
        <w:t>8、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被授权人需提供磋商截止之日前六个月任意一月的社保缴纳证明）；</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10、利益关系承诺函：本项目不接受由西安市第五医院医院职工及其亲属投资举办的企业参加磋商(提供承诺函)；</w:t>
      </w:r>
    </w:p>
    <w:p>
      <w:pPr>
        <w:pStyle w:val="null3"/>
      </w:pPr>
      <w:r>
        <w:rPr>
          <w:rFonts w:ascii="仿宋_GB2312" w:hAnsi="仿宋_GB2312" w:cs="仿宋_GB2312" w:eastAsia="仿宋_GB2312"/>
        </w:rPr>
        <w:t>11、非联合体磋商：本项目不接受联合体磋商（提供书面承诺，加盖供应商公章）。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陕西省西安市雁塔区太白南路39号金石柏朗大厦12层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解东、孔祥妍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和国家发改委办公厅颁发的《关于招标代理服务收费有关问题的通知》（发改办价格〔2003〕857号）文件规定下浮20%计取。成交供应商在领取成交通知书前，须向采购代理机构支付招标代理服务费。2、代理服务费缴纳账户：户名：陕西立信工程项目管理有限公司；账号：129903881810301；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（一）验收应在双方共同参加下进行并签字认可。 （二）验收不合格的物品，供应商应在24小时内重新洗涤或更换，由此产生的额外费用由供应商承担； （三）如因供应商原因导致洗涤物品丢失、破损不能正常使用，由乙方全额赔偿； （四）因纺织品达到使用寿命导致的自然破损,供应商不承担赔偿责任,采购人应定期对不能继续使用的纺织品进行报损。 （五）验收依据： 合同文本、合同附件、磋商文件、磋商响应文件、磋商承诺函等应符合国内相应的标准、规范。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联系人：解东、孔祥妍</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负责医院工作服和病员服的收集、清运及洗涤。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医用被服洗涤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标的名称：医用被服洗涤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     报价内容</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单价限价（元）</w:t>
                  </w:r>
                </w:p>
              </w:tc>
              <w:tc>
                <w:tcPr>
                  <w:tcW w:type="dxa" w:w="426"/>
                </w:tcPr>
                <w:p>
                  <w:pPr>
                    <w:pStyle w:val="null3"/>
                  </w:pPr>
                  <w:r>
                    <w:rPr>
                      <w:rFonts w:ascii="仿宋_GB2312" w:hAnsi="仿宋_GB2312" w:cs="仿宋_GB2312" w:eastAsia="仿宋_GB2312"/>
                    </w:rPr>
                    <w:t>备注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被套</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3.20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绿被套</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床单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1.75</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枕套、枕芯</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0.60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褥子皮</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棉褥子芯</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被子皮</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棉被子芯</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工作服、裤</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1.88</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病员服（衣、裤）</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1.20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蜡垫</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窗帘</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浴巾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大腹单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长台单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0.50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中单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1.80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小单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0.30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开刀巾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包布</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1.20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洗手衣、裤</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1.36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手术衣</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防护服、参观衣</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防感染水溶袋</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方巾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0.60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毛衣</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小巾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治疗巾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0.70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门帘</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夏凉被</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儿童床单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羽绒服</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洞巾</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剖腹单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双中单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35</w:t>
                  </w:r>
                </w:p>
              </w:tc>
              <w:tc>
                <w:tcPr>
                  <w:tcW w:type="dxa" w:w="426"/>
                </w:tcPr>
                <w:p>
                  <w:pPr>
                    <w:pStyle w:val="null3"/>
                  </w:pPr>
                  <w:r>
                    <w:rPr>
                      <w:rFonts w:ascii="仿宋_GB2312" w:hAnsi="仿宋_GB2312" w:cs="仿宋_GB2312" w:eastAsia="仿宋_GB2312"/>
                    </w:rPr>
                    <w:t>仪器罩</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儿童被套</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37</w:t>
                  </w:r>
                </w:p>
              </w:tc>
              <w:tc>
                <w:tcPr>
                  <w:tcW w:type="dxa" w:w="426"/>
                </w:tcPr>
                <w:p>
                  <w:pPr>
                    <w:pStyle w:val="null3"/>
                  </w:pPr>
                  <w:r>
                    <w:rPr>
                      <w:rFonts w:ascii="仿宋_GB2312" w:hAnsi="仿宋_GB2312" w:cs="仿宋_GB2312" w:eastAsia="仿宋_GB2312"/>
                    </w:rPr>
                    <w:t>沙发座套</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38</w:t>
                  </w:r>
                </w:p>
              </w:tc>
              <w:tc>
                <w:tcPr>
                  <w:tcW w:type="dxa" w:w="426"/>
                </w:tcPr>
                <w:p>
                  <w:pPr>
                    <w:pStyle w:val="null3"/>
                  </w:pPr>
                  <w:r>
                    <w:rPr>
                      <w:rFonts w:ascii="仿宋_GB2312" w:hAnsi="仿宋_GB2312" w:cs="仿宋_GB2312" w:eastAsia="仿宋_GB2312"/>
                    </w:rPr>
                    <w:t>骨科单</w:t>
                  </w:r>
                </w:p>
              </w:tc>
              <w:tc>
                <w:tcPr>
                  <w:tcW w:type="dxa" w:w="426"/>
                </w:tcPr>
                <w:p>
                  <w:pPr>
                    <w:pStyle w:val="null3"/>
                  </w:pPr>
                  <w:r>
                    <w:rPr>
                      <w:rFonts w:ascii="仿宋_GB2312" w:hAnsi="仿宋_GB2312" w:cs="仿宋_GB2312" w:eastAsia="仿宋_GB2312"/>
                    </w:rPr>
                    <w:t>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0.01</w:t>
                  </w:r>
                </w:p>
              </w:tc>
              <w:tc>
                <w:tcPr>
                  <w:tcW w:type="dxa" w:w="426"/>
                </w:tcPr>
                <w:p>
                  <w:pPr>
                    <w:pStyle w:val="null3"/>
                  </w:pPr>
                  <w:r>
                    <w:rPr>
                      <w:rFonts w:ascii="仿宋_GB2312" w:hAnsi="仿宋_GB2312" w:cs="仿宋_GB2312" w:eastAsia="仿宋_GB2312"/>
                    </w:rPr>
                    <w:t xml:space="preserve"> </w:t>
                  </w:r>
                </w:p>
              </w:tc>
            </w:tr>
            <w:tr>
              <w:tc>
                <w:tcPr>
                  <w:tcW w:type="dxa" w:w="1704"/>
                  <w:gridSpan w:val="4"/>
                </w:tcPr>
                <w:p>
                  <w:pPr>
                    <w:pStyle w:val="null3"/>
                  </w:pPr>
                  <w:r>
                    <w:rPr>
                      <w:rFonts w:ascii="仿宋_GB2312" w:hAnsi="仿宋_GB2312" w:cs="仿宋_GB2312" w:eastAsia="仿宋_GB2312"/>
                    </w:rPr>
                    <w:t>总价合计</w:t>
                  </w:r>
                </w:p>
              </w:tc>
              <w:tc>
                <w:tcPr>
                  <w:tcW w:type="dxa" w:w="426"/>
                </w:tcPr>
                <w:p>
                  <w:pPr>
                    <w:pStyle w:val="null3"/>
                  </w:pPr>
                  <w:r>
                    <w:rPr>
                      <w:rFonts w:ascii="仿宋_GB2312" w:hAnsi="仿宋_GB2312" w:cs="仿宋_GB2312" w:eastAsia="仿宋_GB2312"/>
                    </w:rPr>
                    <w:t>18.33</w:t>
                  </w:r>
                </w:p>
              </w:tc>
              <w:tc>
                <w:tcPr>
                  <w:tcW w:type="dxa" w:w="426"/>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表格中洗涤单价限价序号为：1-10、12-13、16、19-21、24-28、31-34、36占总比重80%，其余占比20%。</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1、（一）洗涤设备及材料必须保证质量可靠，配置合理，达到环保、消毒、医用卫生等要求，满足标书要求。</w:t>
            </w:r>
          </w:p>
          <w:p>
            <w:pPr>
              <w:pStyle w:val="null3"/>
            </w:pPr>
            <w:r>
              <w:rPr>
                <w:rFonts w:ascii="仿宋_GB2312" w:hAnsi="仿宋_GB2312" w:cs="仿宋_GB2312" w:eastAsia="仿宋_GB2312"/>
              </w:rPr>
              <w:t>（二）洗涤程序及设备符合国家相关标准。</w:t>
            </w:r>
          </w:p>
          <w:p>
            <w:pPr>
              <w:pStyle w:val="null3"/>
            </w:pPr>
            <w:r>
              <w:rPr>
                <w:rFonts w:ascii="仿宋_GB2312" w:hAnsi="仿宋_GB2312" w:cs="仿宋_GB2312" w:eastAsia="仿宋_GB2312"/>
              </w:rPr>
              <w:t>（三）供应商应当在洗涤前对衣物进行检查，如发现衣物粉化，及时告知采购人；洗涤后的衣物应当干净、整洁、无破损，如果造成污染、破损应向采购人承担违约责任。</w:t>
            </w:r>
          </w:p>
          <w:p>
            <w:pPr>
              <w:pStyle w:val="null3"/>
            </w:pPr>
            <w:r>
              <w:rPr>
                <w:rFonts w:ascii="仿宋_GB2312" w:hAnsi="仿宋_GB2312" w:cs="仿宋_GB2312" w:eastAsia="仿宋_GB2312"/>
              </w:rPr>
              <w:t>2、供应商所供服务提供以下售后服务（服务期内）：</w:t>
            </w:r>
          </w:p>
          <w:p>
            <w:pPr>
              <w:pStyle w:val="null3"/>
            </w:pPr>
            <w:r>
              <w:rPr>
                <w:rFonts w:ascii="仿宋_GB2312" w:hAnsi="仿宋_GB2312" w:cs="仿宋_GB2312" w:eastAsia="仿宋_GB2312"/>
              </w:rPr>
              <w:t>（一）发生质量问题，接到采购人通知后，应于当日派出专业人员到现场进行检查，发生的全部费用由供应商承担，若需送回供应商，供应商承担往返费用；</w:t>
            </w:r>
          </w:p>
          <w:p>
            <w:pPr>
              <w:pStyle w:val="null3"/>
            </w:pPr>
            <w:r>
              <w:rPr>
                <w:rFonts w:ascii="仿宋_GB2312" w:hAnsi="仿宋_GB2312" w:cs="仿宋_GB2312" w:eastAsia="仿宋_GB2312"/>
              </w:rPr>
              <w:t>（二）排除质量问题，供应商售后服务的期限不得超过24小时，否则采购人有权指定第三方洗涤，洗涤费用由乙方承担。</w:t>
            </w:r>
          </w:p>
          <w:p>
            <w:pPr>
              <w:pStyle w:val="null3"/>
            </w:pPr>
            <w:r>
              <w:rPr>
                <w:rFonts w:ascii="仿宋_GB2312" w:hAnsi="仿宋_GB2312" w:cs="仿宋_GB2312" w:eastAsia="仿宋_GB2312"/>
              </w:rPr>
              <w:t>3、交货条件：</w:t>
            </w:r>
          </w:p>
          <w:p>
            <w:pPr>
              <w:pStyle w:val="null3"/>
            </w:pPr>
            <w:r>
              <w:rPr>
                <w:rFonts w:ascii="仿宋_GB2312" w:hAnsi="仿宋_GB2312" w:cs="仿宋_GB2312" w:eastAsia="仿宋_GB2312"/>
              </w:rPr>
              <w:t>供应商需每日对甲方被服、工作服等污物进行收运及配送，运输风险乙方承担。</w:t>
            </w:r>
          </w:p>
          <w:p>
            <w:pPr>
              <w:pStyle w:val="null3"/>
            </w:pPr>
            <w:r>
              <w:rPr>
                <w:rFonts w:ascii="仿宋_GB2312" w:hAnsi="仿宋_GB2312" w:cs="仿宋_GB2312" w:eastAsia="仿宋_GB2312"/>
              </w:rPr>
              <w:t>交货地点：西安市第五医院。</w:t>
            </w:r>
          </w:p>
          <w:p>
            <w:pPr>
              <w:pStyle w:val="null3"/>
            </w:pPr>
            <w:r>
              <w:rPr>
                <w:rFonts w:ascii="仿宋_GB2312" w:hAnsi="仿宋_GB2312" w:cs="仿宋_GB2312" w:eastAsia="仿宋_GB2312"/>
              </w:rPr>
              <w:t>4、运输</w:t>
            </w:r>
          </w:p>
          <w:p>
            <w:pPr>
              <w:pStyle w:val="null3"/>
            </w:pPr>
            <w:r>
              <w:rPr>
                <w:rFonts w:ascii="仿宋_GB2312" w:hAnsi="仿宋_GB2312" w:cs="仿宋_GB2312" w:eastAsia="仿宋_GB2312"/>
              </w:rPr>
              <w:t>供应商负责运输，负责每日对采购人被服、工作服等污物进行收运及配送。供应商司机等员工属于供应商的工作人员，如在运输过程中发生交通事故或者遭受侵权或他人侵权，由供应商承担责任，与采购人无关。</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自2027年1月1日起至2027年12月31日止。在合同有效期内，供应商按照合同提供相应洗涤服务，当采购金额达到陆拾万元整后，本合同自动终止。</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1、款项按季度采用银行转账方式进行结算，下一季度依据上季度实际发生额按照采购人财务支付流程进行支付。</w:t>
            </w:r>
          </w:p>
          <w:p>
            <w:pPr>
              <w:pStyle w:val="null3"/>
            </w:pPr>
            <w:r>
              <w:rPr>
                <w:rFonts w:ascii="仿宋_GB2312" w:hAnsi="仿宋_GB2312" w:cs="仿宋_GB2312" w:eastAsia="仿宋_GB2312"/>
              </w:rPr>
              <w:t>2、采购人仅认可供应商指定账户并向该账户付款，采购人有权拒绝向指定账户之外的任何账户付款，并且由此导致的付款延迟责任由供应商承担。</w:t>
            </w:r>
          </w:p>
          <w:p>
            <w:pPr>
              <w:pStyle w:val="null3"/>
            </w:pPr>
            <w:r>
              <w:rPr>
                <w:rFonts w:ascii="仿宋_GB2312" w:hAnsi="仿宋_GB2312" w:cs="仿宋_GB2312" w:eastAsia="仿宋_GB2312"/>
              </w:rPr>
              <w:t>3、供应商要如实开具发票，不得变更开票内容，供货商开具发票出现税务争议时，供货商需承担税款、滞纳金、罚款等赔偿责任以及其他相关责任。</w:t>
            </w:r>
          </w:p>
          <w:p>
            <w:pPr>
              <w:pStyle w:val="null3"/>
            </w:pPr>
            <w:r>
              <w:rPr>
                <w:rFonts w:ascii="仿宋_GB2312" w:hAnsi="仿宋_GB2312" w:cs="仿宋_GB2312" w:eastAsia="仿宋_GB2312"/>
              </w:rPr>
              <w:t>4、结算方式：供应商按季度据实结算，开具发票并持成交通知书、服务合同、季度结算单、正式发票，采购人于收到发票且无任何异议后10个工作日内向供应商支付票款。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 （一）洗涤设备及材料必须保证质量可靠，配置合理，达到环保、消毒、医用卫生等要求，满足标书要求。 （二）洗涤程序及设备符合国家相关标准。 （三）供应商应当在洗涤前对衣物进行检查，如发现衣物粉化，及时告知采购人。洗涤后的衣物应当干净，整洁，无破损。如果造成污染、破损应向甲方承担违约责任。 2、售后服务 供应商所供服务提供以下售后服务（服务期内）： （一）发生质量问题，接到采购人通知后，应于当日派出专业人员到现场进行检查，发生的全部费用由供应商承担，若需送回供应商，供应商承担往返费用； （二）排除质量问题，供货商的售后服务期限不得超过24小时。否则采购人有权指定第三方洗涤，洗涤费用由供应商承担。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自2027年1月1日起至2027年12月31日止。在合同有效期内，供应商按照合同提供相应洗涤服务，当采购金额达到陆拾万元整后，本合同自动终止。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（一）验收应在双方共同参加下进行并签字认可。 （二）验收不合格的物品，供应商应在24小时内重新洗涤或更换，由此产生的额外费用由供应商承担； （三）如因供应商原因导致洗涤物品丢失、破损不能正常使用，由乙方全额赔偿； （四）因纺织品达到使用寿命导致的自然破损,供应商不承担赔偿责任,采购人应定期对不能继续使用的纺织品进行报损。 （五）验收依据： 合同文本、合同附件、磋商文件、磋商响应文件、磋商承诺函等应符合国内相应的标准、规范。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进度款，1、款项按季度采用银行转账方式进行结算，下一季度依据上季度实际发生额按照采购人财务支付流程进行支付。 2、采购人仅认可供应商指定账户并向该账户付款，采购人有权拒绝向指定账户之外的任何账户付款，并且由此导致的付款延迟责任由供应商承担。 3、供应商要如实开具发票，不得变更开票内容，供货商开具发票出现税务争议时，供货商需承担税款、滞纳金、罚款等赔偿责任以及其他相关责任。 4、结算方式：供应商按季度据实结算，开具发票并持成交通知书、服务合同、季度结算单、正式发票，采购人于收到发票且无任何异议后，达到付款条件起10个工作日内，支付合同总金额的100.0%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（一）按《政府采购法》、《民法典》中的相关条款执行。 （二）未按合同要求提供货物或质量不能满足谈判技术要求，供应商必须无条件更换，提高技术，完善质量，否则，采购人有权解除合同，并要求供应商的承担合同总价款30%的违约金。 （三）采购人依据当月满意度调查结果，如果对供应商服务不满意科室占比高于20%,即为不合格，采购人有权扣除当季度洗涤费总额的30%作为违约金。 （四）因供应商原因造成服务响应延误的，每延误一天，由供应商按采购人已付总价款的0.5%向对方支付违约金，供应商响应延误超过三十天的，采购人有权解除合同，供应商应向采购人支付采购人已付总价款30%的违约金，违约金不足以弥补采购人损失的，供应商应补足。 （五）供应商洗涤后的衣物应当干净，整洁，无破损，如果造成污染、破损的，供应商应向采购人支付甲方已付总价款30%的违约金，违约金不足以弥补采购人损失的，供应商应补足。 （六）本项目涉及的采购人的全部损失包括但不限于给第三人（病人）造成的人身损害和财产损失、采购人的直接损失，采购人可能需为此支付的一切赔偿、罚款等费用及为维权而支付的合理律师费、诉讼费、保全保险费、调查取证费、公证费、差旅费和鉴定费等。 2、合同争议解决的方式 本合同在履行过程中发生的争议，由甲、乙双方当事人协商解决，协商不成的按下列第（二）种方式解决： （一）提交 西安 仲裁委员会仲裁； （二）依法向 甲方 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1、支付方式：分期付款，真体以合同约定内容为准。 2、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3、磋商时无需提供纸质响应文件， 成交供应商在领取成交通知书时提供纸质响应文件肆份（一正三副），纸质版文件须是电子化交易平台系统生成的响应文件。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一年内至少三个月的(磋商截止时间当月不计入)依法缴纳税收的相关凭据（时间以税款所属日期为准），凭据应有税务机关或代收机关的公章或业务专用章；依法免税或无须缴纳税收的供应商，应提供相应证明文件；或具有依法缴纳税收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一年内至少三个月的(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应在磋商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被授权人需提供磋商截止之日前六个月任意一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本项目不接受由西安市第五医院医院职工及其亲属投资举办的企业参加磋商(提供承诺函)；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本项目不接受联合体磋商（提供书面承诺，加盖供应商公章）。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供应商廉洁自律承诺书.docx 残疾人福利性单位声明函 标的清单 响应函 磋商报价一览表.docx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供应商廉洁自律承诺书.docx 残疾人福利性单位声明函 标的清单 响应函 磋商报价一览表.docx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磋商报价不超过采购预算及最高限价</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服务内容及服务要求应答表 标的清单 报价表 响应函 磋商报价一览表.docx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供应商应提交的相关资格证明材料.docx 供应商廉洁自律承诺书.docx 中小企业声明函 残疾人福利性单位声明函 商务应答表 服务内容及服务要求应答表 标的清单 报价表 响应函 磋商报价一览表.docx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供应商廉洁自律承诺书.docx 残疾人福利性单位声明函 标的清单 响应函 磋商报价一览表.docx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一、评审内容：1.全流程洗涤工艺；2.分类洗涤标准；3.消毒流程；4.从业人员培训安排；5.配送服务工作计划。 二、评审标准：各项内容完整、科学、合理、详尽，内容全面、符合本项目采购需求得15分; 三、评审内容每缺一项扣3分；内容每存在一处缺陷扣0.2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拟投入洗涤场所方案</w:t>
            </w:r>
          </w:p>
        </w:tc>
        <w:tc>
          <w:tcPr>
            <w:tcW w:type="dxa" w:w="2492"/>
          </w:tcPr>
          <w:p>
            <w:pPr>
              <w:pStyle w:val="null3"/>
            </w:pPr>
            <w:r>
              <w:rPr>
                <w:rFonts w:ascii="仿宋_GB2312" w:hAnsi="仿宋_GB2312" w:cs="仿宋_GB2312" w:eastAsia="仿宋_GB2312"/>
              </w:rPr>
              <w:t>一、评审内容：供应商洗涤场所净污分离、物流不交叉、无逆流等措施方案。方案内容至少包含：1.内部布局满足项目服务需求；2.提供符合国家相关安全生产规范要求证明材料；3.提供场所所有权或使用等证明材料。 二、评审标准:各项内容全面详细、阐述条理清晰详尽、符合本项目采购需求得6分。 三、评审内容每缺一项扣2分；内容每存在一处缺陷扣0.2分，扣完为止。（评审内容中的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质量及服务保证方案</w:t>
            </w:r>
          </w:p>
        </w:tc>
        <w:tc>
          <w:tcPr>
            <w:tcW w:type="dxa" w:w="2492"/>
          </w:tcPr>
          <w:p>
            <w:pPr>
              <w:pStyle w:val="null3"/>
            </w:pPr>
            <w:r>
              <w:rPr>
                <w:rFonts w:ascii="仿宋_GB2312" w:hAnsi="仿宋_GB2312" w:cs="仿宋_GB2312" w:eastAsia="仿宋_GB2312"/>
              </w:rPr>
              <w:t>一、评审内容：供应商针对本项目制定的质量及进度保证方案，包括但不限于以下内容：1.洗涤质量标准，同时具有医疗机构医用织物洗涤消毒技术标准(WS/T 508-2025) 2026年2月实施至投标截止日，投标人，具有检测资质的第三方出具的洗微生物指标的菌落总数、大肠菌群、金黄色葡萄球菌、真菌等项目的《物表检验报告》，资料完整、结果合格；2.感控措施和客户服务标准；3.设备管理制度；4.预防洗涤物品破损、污染和丢失方案；5.售后服务方案。 二、评审标准方案:各项内容全面详细、阐述条理清晰详尽、符合本项目采购需求得5分。 三、评审内容每缺一项扣1分；内容每存在一处缺陷扣0.2分，扣完为止。（评审内容中的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制定的应急方案，包括但不限于以下内容：1.提供针对本项目的应急方案（不限于停电、停水、停气、机器故障、医院紧急通知、车辆紧急需求等）；2.公共突发传染事件应对方案。 二、评审标准：各项内容全面详细、阐述条理清晰详尽、符合本项目采购需求得4分。 三、评审内容每缺一项扣2分；内容每存在一处缺陷扣0.2分，扣完为止。（评审内容中的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一、评审内容：针对本项目提供详细的人员配备，包括但不限于：1.组织管理机构人员名单及人员分工安排、职责划分、工作经验；2.项目负责人的从业经验、管理能力等；3.人员组织协调方案；4.参与本项目所有服务人员的工作经验证明及健康证明； 二、评审标准：各项内容全面详细、阐述条理清晰详尽、符合本项目采购需求得4分。 三、评审内容每缺一项扣1分；内容每存在一处缺陷扣0.2分，扣完为止。（评审内容中的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一、评审内容：1.响应机制；2.履约能力承诺；3.增值服务承诺； 二、评审标准：响应机制完善、承诺详实可落地、针对本项目提供的增值服务等，符合本项目采购需求得6分。 三、评审内容每缺一项扣2分；内容每存在一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拟投入设施、设备及材料</w:t>
            </w:r>
          </w:p>
        </w:tc>
        <w:tc>
          <w:tcPr>
            <w:tcW w:type="dxa" w:w="2492"/>
          </w:tcPr>
          <w:p>
            <w:pPr>
              <w:pStyle w:val="null3"/>
            </w:pPr>
            <w:r>
              <w:rPr>
                <w:rFonts w:ascii="仿宋_GB2312" w:hAnsi="仿宋_GB2312" w:cs="仿宋_GB2312" w:eastAsia="仿宋_GB2312"/>
              </w:rPr>
              <w:t>供应商具有医用织物专业洗涤设备： 1.每具有一台连续隧道式洗衣机设备得0.5分，满分1分； 2.每具有一台烫平机得0.5分，满分1分； 3.每具有一台全自动折叠机得0.5分，满分1分； 4.每具有一台烘干设备得0.5分，满分1分； 5.每具有一台高吊中位展布机得0.5分，满分1分； 6、每具有一台床垫清洗机得0.5分，满分1分； 7.具有工作人员风淋消毒通道及设施，满分2分 备注：上述设备需为供应商自有设备且提供设备购买发票、设备现场实景照片举证，未提供不得分。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有良好的配送能力，不少于2辆自有或租赁医用被服专用配送车辆（提供相关证明材料，包括但不限于有效期内的行驶证，车辆购置发票或租赁合同），在此基础上，每多提供一辆计0.5分，最高计6分；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洗涤剂、消毒剂等产品</w:t>
            </w:r>
          </w:p>
        </w:tc>
        <w:tc>
          <w:tcPr>
            <w:tcW w:type="dxa" w:w="2492"/>
          </w:tcPr>
          <w:p>
            <w:pPr>
              <w:pStyle w:val="null3"/>
            </w:pPr>
            <w:r>
              <w:rPr>
                <w:rFonts w:ascii="仿宋_GB2312" w:hAnsi="仿宋_GB2312" w:cs="仿宋_GB2312" w:eastAsia="仿宋_GB2312"/>
              </w:rPr>
              <w:t>1、提供洗涤剂、消毒剂产品清单：包括种类、品牌、功能等内容，提供得2分，未提供或提供不全不得分； 2、洗涤剂为医用洗涤剂，提供消毒产品生产企业卫生许可证、质检机构出具的质量检测报告，提供得2分，未提供或提供不全不得分； 3、提供与医用洗涤剂制造商的采购合同，投标之日起前一年内采购付款发票，提供得2分，未提供或提供不全不得分。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提供2023年7月至今承接过的同类项目业绩，每提供一份得2分，最高得10分；没有提供不得分。（以合同签订日期签订日期为准，提供项目合同复印件并加盖公章。）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价格分采用低价优先法计算，即满足磋商文件要求且最终报价最低的价格为磋商基准价，其价格分为满分。其他供应商的价格分统一按照下列公式计算： 磋商报价得分=（磋商基准价/最终磋商报价）×30，超出预算的磋商报价在评审过程中按无效投标处理。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详见附件：供应商廉洁自律承诺书.docx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