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西安大兴新区未央综合改造管理委员会送变电、明珠公司拆除清运工程（大兴中学）招标公告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送变电、明珠公司拆除清运工程（大兴中学）</w:t>
      </w:r>
      <w:r>
        <w:rPr>
          <w:rFonts w:ascii="仿宋_GB2312" w:hAnsi="仿宋_GB2312" w:cs="仿宋_GB2312" w:eastAsia="仿宋_GB2312"/>
        </w:rPr>
        <w:t>的潜在投标人应在陕西省政府采购综合管理平台项目电子化交易系统（以下简称“项目电子化交易系统”）获取招标文件，并于</w:t>
      </w:r>
      <w:r>
        <w:rPr>
          <w:rFonts w:ascii="仿宋_GB2312" w:hAnsi="仿宋_GB2312" w:cs="仿宋_GB2312" w:eastAsia="仿宋_GB2312"/>
        </w:rPr>
        <w:t xml:space="preserve"> 2026年10月10日 09时30分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项目编号：ZJXG2026067</w:t>
      </w:r>
    </w:p>
    <w:p>
      <w:pPr>
        <w:pStyle w:val="null3"/>
      </w:pPr>
      <w:r>
        <w:rPr>
          <w:rFonts w:ascii="仿宋_GB2312" w:hAnsi="仿宋_GB2312" w:cs="仿宋_GB2312" w:eastAsia="仿宋_GB2312"/>
        </w:rPr>
        <w:t>项目名称：送变电、明珠公司拆除清运工程（大兴中学）</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预算金额：5,309,781.87元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采购包1：自进场之日起15个日历日内竣工（具体开工日期以发包人书面通知为准）。</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合同包1(送变电、明珠公司拆除清运工程（大兴中学）)落实政府采购政策需满足的资格要求如下:</w:t>
      </w:r>
    </w:p>
    <w:p>
      <w:pPr>
        <w:pStyle w:val="null3"/>
        <w:ind w:left="480"/>
      </w:pPr>
      <w:r>
        <w:rPr>
          <w:rFonts w:ascii="仿宋_GB2312" w:hAnsi="仿宋_GB2312" w:cs="仿宋_GB2312" w:eastAsia="仿宋_GB2312"/>
        </w:rPr>
        <w:t>本合同包为专门面向中小企业采购（提供中小企业声明函或监狱企业的证明文件或残疾人福利性单位声明函）。供应商需在项目电子化交易系统中按要求上传相应证明文件并进行电子签章；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合同包1(送变电、明珠公司拆除清运工程（大兴中学）)特定资格要求如下: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①可提供2024或2025年度经审计的财务报告（包含审计报告和审计报告中所涉及的财务报表和报表附注），②可提供2024或2025年度供应商完整的全套财务报表（应当包括资产负债表、利润表、现金流量表、所有者权益变动表、附注），③可提供截至竞争性磋商响应文件提交截止日一年内银行出具的资信证明，④供应商注册时间截至竞争性磋商响应文件提交截止日不足一年的，也可提供在工商管理部门备案的公司章程。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(3)提供2026年1月至今已缴纳的1个月的纳税证明或完税证明，依法免税的单位应提供相关证明材料。此项可提供基本资格条件承诺函。供应商需在项目电子化交易系统中按要求上传相应证明文件并进行电子签章；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(4)提供2026年1月至今已缴纳的1个月的社会保障资金缴存单据或社保机构开具的社会保险参保缴费情况证明，依法不需要缴纳社会保障资金的单位应提供相关证明材料。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(7)法定代表人（单位负责人）授权委托书（附法定代表人（单位负责人）、被授权人身份证复印件；（法定代表人（单位负责人）直接参加的，须提供法定代表人（单位负责人）身份证明书及身份证复印件且与营业执照上信息须一致），非法人单位参照执行。供应商需在项目电子化交易系统中按要求上传相应证明文件并进行电子签章；</w:t>
      </w:r>
    </w:p>
    <w:p>
      <w:pPr>
        <w:pStyle w:val="null3"/>
      </w:pPr>
      <w:r>
        <w:rPr>
          <w:rFonts w:ascii="仿宋_GB2312" w:hAnsi="仿宋_GB2312" w:cs="仿宋_GB2312" w:eastAsia="仿宋_GB2312"/>
        </w:rPr>
        <w:t>(8)供应商必须具备建设行政主管部门颁发的建筑工程施工总承包三级（含）及以上资质，具备有效的安全生产许可证。供应商需在项目电子化交易系统中按要求上传相应证明文件并进行电子签章；</w:t>
      </w:r>
    </w:p>
    <w:p>
      <w:pPr>
        <w:pStyle w:val="null3"/>
      </w:pPr>
      <w:r>
        <w:rPr>
          <w:rFonts w:ascii="仿宋_GB2312" w:hAnsi="仿宋_GB2312" w:cs="仿宋_GB2312" w:eastAsia="仿宋_GB2312"/>
        </w:rPr>
        <w:t>(9)拟派项目经理须具备建筑工程专业二级及以上注册建造师证书且在本单位注册，具备有效的安全生产考核合格证书（B证），在本单位注册且无在建工程（提供无在建工程承诺书）。供应商需在项目电子化交易系统中按要求上传相应证明文件并进行电子签章；</w:t>
      </w:r>
    </w:p>
    <w:p>
      <w:pPr>
        <w:pStyle w:val="null3"/>
      </w:pPr>
      <w:r>
        <w:rPr>
          <w:rFonts w:ascii="仿宋_GB2312" w:hAnsi="仿宋_GB2312" w:cs="仿宋_GB2312" w:eastAsia="仿宋_GB2312"/>
        </w:rPr>
        <w:t>(10)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(11)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(12)本合同包为专门面向中小企业采购（提供中小企业声明函或监狱企业的证明文件或残疾人福利性单位声明函）。供应商需在项目电子化交易系统中按要求上传相应证明文件并进行电子签章；</w:t>
      </w:r>
    </w:p>
    <w:p>
      <w:pPr>
        <w:pStyle w:val="null3"/>
      </w:pPr>
      <w:r>
        <w:rPr>
          <w:rFonts w:ascii="仿宋_GB2312" w:hAnsi="仿宋_GB2312" w:cs="仿宋_GB2312" w:eastAsia="仿宋_GB2312"/>
        </w:rPr>
        <w:t>(13)本项目不接受联合体投标（提供承诺函），供应商需在项目电子化交易系统中按要求上传相应证明文件并进行电子签章。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2026年09月20日 </w:t>
      </w:r>
      <w:r>
        <w:rPr>
          <w:rFonts w:ascii="仿宋_GB2312" w:hAnsi="仿宋_GB2312" w:cs="仿宋_GB2312" w:eastAsia="仿宋_GB2312"/>
        </w:rPr>
        <w:t>至</w:t>
      </w:r>
      <w:r>
        <w:rPr>
          <w:rFonts w:ascii="仿宋_GB2312" w:hAnsi="仿宋_GB2312" w:cs="仿宋_GB2312" w:eastAsia="仿宋_GB2312"/>
        </w:rPr>
        <w:t xml:space="preserve"> 2026年09月24日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2026年10月10日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pPr>
      <w:r>
        <w:rPr>
          <w:rFonts w:ascii="仿宋_GB2312" w:hAnsi="仿宋_GB2312" w:cs="仿宋_GB2312" w:eastAsia="仿宋_GB2312"/>
        </w:rPr>
        <w:t>开标地点：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rPr>
        <w:t>（七）需要落实的政府采购政策：</w:t>
      </w:r>
    </w:p>
    <w:p>
      <w:pPr>
        <w:pStyle w:val="null3"/>
      </w:pPr>
      <w:r>
        <w:rPr>
          <w:rFonts w:ascii="仿宋_GB2312" w:hAnsi="仿宋_GB2312" w:cs="仿宋_GB2312" w:eastAsia="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3)《财政部民政部中国残疾人联合会关于促进残疾人就业政府采购政策的通知》（财库〔2017〕141号）；</w:t>
      </w:r>
    </w:p>
    <w:p>
      <w:pPr>
        <w:pStyle w:val="null3"/>
      </w:pPr>
      <w:r>
        <w:rPr>
          <w:rFonts w:ascii="仿宋_GB2312" w:hAnsi="仿宋_GB2312" w:cs="仿宋_GB2312" w:eastAsia="仿宋_GB2312"/>
        </w:rPr>
        <w:t>4)《财政部国家发展改革委关于印发(节能产品政府采购实施意见)的通知》(财库〔2004〕185号)；</w:t>
      </w:r>
    </w:p>
    <w:p>
      <w:pPr>
        <w:pStyle w:val="null3"/>
      </w:pPr>
      <w:r>
        <w:rPr>
          <w:rFonts w:ascii="仿宋_GB2312" w:hAnsi="仿宋_GB2312" w:cs="仿宋_GB2312" w:eastAsia="仿宋_GB2312"/>
        </w:rPr>
        <w:t>5)《国务院办公厅关于建立政府强制采购节能产品制度的通知》(国办发〔2007〕51号)；</w:t>
      </w:r>
    </w:p>
    <w:p>
      <w:pPr>
        <w:pStyle w:val="null3"/>
      </w:pPr>
      <w:r>
        <w:rPr>
          <w:rFonts w:ascii="仿宋_GB2312" w:hAnsi="仿宋_GB2312" w:cs="仿宋_GB2312" w:eastAsia="仿宋_GB2312"/>
        </w:rPr>
        <w:t>6)《财政部环保总局关于环境标志产品政府采购实施的意见》(财库〔2006〕90号)；</w:t>
      </w:r>
    </w:p>
    <w:p>
      <w:pPr>
        <w:pStyle w:val="null3"/>
      </w:pPr>
      <w:r>
        <w:rPr>
          <w:rFonts w:ascii="仿宋_GB2312" w:hAnsi="仿宋_GB2312" w:cs="仿宋_GB2312" w:eastAsia="仿宋_GB2312"/>
        </w:rPr>
        <w:t>7)《财政部 发展改革委 生态环境部 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10)《财政部、农业农村部、国家乡村振兴局关于运用政府采购政策支持乡村产业振兴的通知》（财库〔2021〕19号）；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13）《关于政府采购支持绿色建材促进建筑品质提升试点工作的通知》（财库〔2020〕31 号）；</w:t>
      </w:r>
    </w:p>
    <w:p>
      <w:pPr>
        <w:pStyle w:val="null3"/>
      </w:pPr>
      <w:r>
        <w:rPr>
          <w:rFonts w:ascii="仿宋_GB2312" w:hAnsi="仿宋_GB2312" w:cs="仿宋_GB2312" w:eastAsia="仿宋_GB2312"/>
        </w:rPr>
        <w:t>14）《财政部办公厅关于组织地方预算单位做好2023年政府采购脱贫地区农副产品工作的通知》（财办库〔2023〕45 号）；</w:t>
      </w:r>
    </w:p>
    <w:p>
      <w:pPr>
        <w:pStyle w:val="null3"/>
      </w:pPr>
      <w:r>
        <w:rPr>
          <w:rFonts w:ascii="仿宋_GB2312" w:hAnsi="仿宋_GB2312" w:cs="仿宋_GB2312" w:eastAsia="仿宋_GB2312"/>
        </w:rPr>
        <w:t>15）《财政部住房城乡建设部工业和信息化部关于扩大政府采购绿色建材促进建筑品质提升政策实施范围的通知》（财库〔2022〕35号）；</w:t>
      </w:r>
    </w:p>
    <w:p>
      <w:pPr>
        <w:pStyle w:val="null3"/>
      </w:pPr>
      <w:r>
        <w:rPr>
          <w:rFonts w:ascii="仿宋_GB2312" w:hAnsi="仿宋_GB2312" w:cs="仿宋_GB2312" w:eastAsia="仿宋_GB2312"/>
        </w:rPr>
        <w:t>16）《国务院办公厅关于在政府采购中实施本国产品标准及相关政策的通知》（国办发〔2025〕34号）；</w:t>
      </w:r>
    </w:p>
    <w:p>
      <w:pPr>
        <w:pStyle w:val="null3"/>
      </w:pP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西安大兴新区未央综合改造管理委员会</w:t>
      </w:r>
    </w:p>
    <w:p>
      <w:pPr>
        <w:pStyle w:val="null3"/>
      </w:pPr>
      <w:r>
        <w:rPr>
          <w:rFonts w:ascii="仿宋_GB2312" w:hAnsi="仿宋_GB2312" w:cs="仿宋_GB2312" w:eastAsia="仿宋_GB2312"/>
        </w:rPr>
        <w:t>地址：</w:t>
      </w:r>
      <w:r>
        <w:rPr>
          <w:rFonts w:ascii="仿宋_GB2312" w:hAnsi="仿宋_GB2312" w:cs="仿宋_GB2312" w:eastAsia="仿宋_GB2312"/>
        </w:rPr>
        <w:t>西安市未央区朱宏路与纬三十街十字东北角</w:t>
      </w:r>
    </w:p>
    <w:p>
      <w:pPr>
        <w:pStyle w:val="null3"/>
      </w:pPr>
      <w:r>
        <w:rPr>
          <w:rFonts w:ascii="仿宋_GB2312" w:hAnsi="仿宋_GB2312" w:cs="仿宋_GB2312" w:eastAsia="仿宋_GB2312"/>
        </w:rPr>
        <w:t>联系方式：</w:t>
      </w:r>
      <w:r>
        <w:rPr>
          <w:rFonts w:ascii="仿宋_GB2312" w:hAnsi="仿宋_GB2312" w:cs="仿宋_GB2312" w:eastAsia="仿宋_GB2312"/>
        </w:rPr>
        <w:t>029-86239010</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15709288302</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白洁</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