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27E4F">
      <w:pPr>
        <w:tabs>
          <w:tab w:val="left" w:pos="9030"/>
        </w:tabs>
        <w:snapToGrid w:val="0"/>
        <w:spacing w:line="360" w:lineRule="auto"/>
        <w:ind w:right="-62"/>
        <w:jc w:val="center"/>
        <w:outlineLvl w:val="2"/>
        <w:rPr>
          <w:b/>
          <w:bCs/>
          <w:sz w:val="44"/>
          <w:szCs w:val="44"/>
          <w:lang w:val="zh-CN"/>
        </w:rPr>
      </w:pPr>
      <w:r>
        <w:rPr>
          <w:rFonts w:hint="eastAsia" w:ascii="宋体" w:hAnsi="宋体" w:cs="宋体"/>
          <w:b/>
          <w:bCs/>
          <w:sz w:val="44"/>
          <w:szCs w:val="44"/>
          <w:lang w:val="zh-CN"/>
        </w:rPr>
        <w:t>拟签订采购合同文本</w:t>
      </w:r>
    </w:p>
    <w:p w14:paraId="7A243FCD">
      <w:pPr>
        <w:autoSpaceDE w:val="0"/>
        <w:autoSpaceDN w:val="0"/>
        <w:adjustRightInd w:val="0"/>
        <w:snapToGrid w:val="0"/>
        <w:spacing w:line="360" w:lineRule="auto"/>
        <w:jc w:val="center"/>
        <w:rPr>
          <w:rFonts w:ascii="仿宋_GB2312" w:eastAsia="仿宋_GB2312"/>
          <w:b/>
          <w:sz w:val="32"/>
          <w:szCs w:val="32"/>
        </w:rPr>
      </w:pPr>
      <w:r>
        <w:rPr>
          <w:rFonts w:hint="eastAsia" w:ascii="仿宋_GB2312" w:eastAsia="仿宋_GB2312"/>
          <w:b/>
          <w:sz w:val="32"/>
          <w:szCs w:val="32"/>
        </w:rPr>
        <w:t>西安高新区教育体育局2026-2027年度校园安保配备项目</w:t>
      </w:r>
    </w:p>
    <w:p w14:paraId="4A05D462">
      <w:pPr>
        <w:autoSpaceDE w:val="0"/>
        <w:autoSpaceDN w:val="0"/>
        <w:adjustRightInd w:val="0"/>
        <w:snapToGrid w:val="0"/>
        <w:spacing w:line="360" w:lineRule="auto"/>
        <w:ind w:firstLine="560" w:firstLineChars="200"/>
        <w:rPr>
          <w:rFonts w:ascii="仿宋_GB2312" w:eastAsia="仿宋_GB2312"/>
          <w:bCs/>
          <w:sz w:val="28"/>
          <w:szCs w:val="28"/>
        </w:rPr>
      </w:pPr>
    </w:p>
    <w:p w14:paraId="1B3C636C">
      <w:pPr>
        <w:autoSpaceDE w:val="0"/>
        <w:autoSpaceDN w:val="0"/>
        <w:adjustRightInd w:val="0"/>
        <w:snapToGrid w:val="0"/>
        <w:spacing w:line="360" w:lineRule="auto"/>
        <w:ind w:firstLine="560" w:firstLineChars="200"/>
        <w:rPr>
          <w:rFonts w:ascii="仿宋_GB2312" w:eastAsia="仿宋_GB2312"/>
          <w:bCs/>
          <w:sz w:val="28"/>
          <w:szCs w:val="28"/>
        </w:rPr>
      </w:pPr>
      <w:r>
        <w:rPr>
          <w:rFonts w:hint="eastAsia" w:ascii="仿宋_GB2312" w:eastAsia="仿宋_GB2312"/>
          <w:bCs/>
          <w:sz w:val="28"/>
          <w:szCs w:val="28"/>
        </w:rPr>
        <w:t xml:space="preserve">甲方（采购人）： </w:t>
      </w:r>
    </w:p>
    <w:p w14:paraId="05BA60B8">
      <w:pPr>
        <w:autoSpaceDE w:val="0"/>
        <w:autoSpaceDN w:val="0"/>
        <w:adjustRightInd w:val="0"/>
        <w:snapToGrid w:val="0"/>
        <w:spacing w:line="360" w:lineRule="auto"/>
        <w:ind w:firstLine="560" w:firstLineChars="200"/>
        <w:rPr>
          <w:rFonts w:ascii="仿宋_GB2312" w:eastAsia="仿宋_GB2312"/>
          <w:bCs/>
          <w:sz w:val="28"/>
          <w:szCs w:val="28"/>
        </w:rPr>
      </w:pPr>
      <w:r>
        <w:rPr>
          <w:rFonts w:hint="eastAsia" w:ascii="仿宋_GB2312" w:eastAsia="仿宋_GB2312"/>
          <w:bCs/>
          <w:sz w:val="28"/>
          <w:szCs w:val="28"/>
        </w:rPr>
        <w:t xml:space="preserve">乙方（中标人）： </w:t>
      </w:r>
    </w:p>
    <w:p w14:paraId="0EAC7072">
      <w:pPr>
        <w:wordWrap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根据《中华人民共和国政府采购法》及实施条例、《中华人民共和国民法典》、《陕西省中小学幼儿园安全管理办法》和</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项目名称、包号) (项目编号：</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）的招标文件、投标文件等有关规定，为确保甲方采购项目的顺利实施，甲、乙双方在平等自愿原则下签订本合同，并共同遵守如下条款。</w:t>
      </w:r>
    </w:p>
    <w:p w14:paraId="4AFE87A6">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一、合同价款</w:t>
      </w:r>
    </w:p>
    <w:p w14:paraId="71188E84">
      <w:pPr>
        <w:adjustRightInd w:val="0"/>
        <w:snapToGrid w:val="0"/>
        <w:spacing w:line="360" w:lineRule="auto"/>
        <w:ind w:firstLine="560" w:firstLineChars="200"/>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（一）合同暂定总价款（中标金额）为人民币(大写)</w:t>
      </w:r>
      <w:r>
        <w:rPr>
          <w:rFonts w:hint="eastAsia" w:ascii="仿宋_GB2312" w:hAnsi="仿宋_GB2312" w:eastAsia="仿宋_GB2312" w:cs="仿宋_GB2312"/>
          <w:sz w:val="28"/>
          <w:szCs w:val="28"/>
          <w:u w:val="single"/>
        </w:rPr>
        <w:t xml:space="preserve">          </w:t>
      </w:r>
    </w:p>
    <w:p w14:paraId="154EFD93">
      <w:pPr>
        <w:adjustRightInd w:val="0"/>
        <w:snapToGrid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          ）</w:t>
      </w:r>
      <w:r>
        <w:rPr>
          <w:rFonts w:hint="eastAsia" w:ascii="仿宋_GB2312" w:hAnsi="仿宋_GB2312" w:eastAsia="仿宋_GB2312" w:cs="仿宋_GB2312"/>
          <w:sz w:val="28"/>
          <w:szCs w:val="28"/>
        </w:rPr>
        <w:t>。</w:t>
      </w:r>
    </w:p>
    <w:p w14:paraId="16C83F9C">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（二）合同价款包括：合同期内服务实施费用、人工费、交通费、保险、服装、管理费以及国家按现行税率征收的一切税费等所有费用。</w:t>
      </w:r>
    </w:p>
    <w:p w14:paraId="775A5DF7">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（三）甲方有权根据实际工作量变化减少服务内容及合同金额，但不接受追加金额。甲方书面通知乙方工作量变化，乙方应在3日内确认，逾期未确认视为认可，合同金额按照实际工作量占原工作量比例折算。</w:t>
      </w:r>
    </w:p>
    <w:p w14:paraId="716D1082">
      <w:pPr>
        <w:adjustRightInd w:val="0"/>
        <w:snapToGrid w:val="0"/>
        <w:spacing w:line="360" w:lineRule="auto"/>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二、款项结算</w:t>
      </w:r>
    </w:p>
    <w:p w14:paraId="04E9F734">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（一）付款方式：</w:t>
      </w:r>
    </w:p>
    <w:p w14:paraId="0988A214">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自本合同履行服务三个月后，经考核合格后15日内，甲方向乙方支付合同总价款的40% ；九个月后，经考核合格后15日内，甲方向乙方支付合同总价款的40%；合同期满经考核合格后15日内，甲方向乙方支付合同总价款的20%</w:t>
      </w:r>
      <w:r>
        <w:rPr>
          <w:rFonts w:hint="eastAsia" w:ascii="仿宋_GB2312" w:hAnsi="仿宋_GB2312" w:eastAsia="仿宋_GB2312" w:cs="仿宋_GB2312"/>
          <w:sz w:val="28"/>
          <w:szCs w:val="28"/>
        </w:rPr>
        <w:t>。</w:t>
      </w:r>
    </w:p>
    <w:p w14:paraId="4CF27229">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注：甲方有权根据实际工作量变化减少服务内容及合同金额，但不接受追加金额。</w:t>
      </w:r>
    </w:p>
    <w:p w14:paraId="17074D85">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（二）结算方式：银行转账。</w:t>
      </w:r>
    </w:p>
    <w:p w14:paraId="74781E40">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乙方开户名称：</w:t>
      </w:r>
    </w:p>
    <w:p w14:paraId="50A69115">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银行账号：</w:t>
      </w:r>
    </w:p>
    <w:p w14:paraId="52223B97">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开户行：</w:t>
      </w:r>
    </w:p>
    <w:p w14:paraId="764EAC66">
      <w:pPr>
        <w:numPr>
          <w:ilvl w:val="0"/>
          <w:numId w:val="1"/>
        </w:numPr>
        <w:adjustRightInd w:val="0"/>
        <w:snapToGrid w:val="0"/>
        <w:spacing w:line="360" w:lineRule="auto"/>
        <w:ind w:left="70" w:leftChars="0" w:firstLine="56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考核：三个月后、九个月后和合同期满分别于下一个月</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日前(如遇节假日向后顺延),乙方向甲方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各学校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提交上季度《保安岗位考勤表》,同时由甲方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各学校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出具《保安服务质量量化考核表》，经双方核对无误且乙方提供等额正规发票后，甲方按照合同约定金额付款，若乙方未提供或提供不符合要求的发票，甲方有权拒绝付款，且不承担任何违约责任。</w:t>
      </w:r>
    </w:p>
    <w:p w14:paraId="6833C7F3">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三、服务形式 </w:t>
      </w:r>
    </w:p>
    <w:p w14:paraId="6DEDF771">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乙方应与服务人员签订劳动合同并对服务人员承担法律法规规定的用人单位的所有义务，并自行负责该等人员的工资、福利、工伤及社会保险等一切事宜。乙方所委派的履行乙方在本协议项下义务的员工将始终是乙方的雇员，本协议不能以任何形式被理解为在乙方员工服务人员和甲方之间建立或创设了劳动关系。</w:t>
      </w:r>
    </w:p>
    <w:p w14:paraId="21901C49">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（二）乙方委托甲方协助对保安人员进行管</w:t>
      </w:r>
      <w:bookmarkStart w:id="0" w:name="_GoBack"/>
      <w:bookmarkEnd w:id="0"/>
      <w:r>
        <w:rPr>
          <w:rFonts w:hint="eastAsia" w:ascii="仿宋_GB2312" w:hAnsi="仿宋_GB2312" w:eastAsia="仿宋_GB2312" w:cs="仿宋_GB2312"/>
          <w:sz w:val="28"/>
          <w:szCs w:val="28"/>
        </w:rPr>
        <w:t xml:space="preserve">理，所有与保安人员因劳动关系所产生的责任由乙方承担，给甲方造成损失的，有权向乙方追偿。 </w:t>
      </w:r>
    </w:p>
    <w:p w14:paraId="2451BDAA">
      <w:pPr>
        <w:adjustRightInd w:val="0"/>
        <w:snapToGrid w:val="0"/>
        <w:spacing w:line="360" w:lineRule="auto"/>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rPr>
        <w:t>（三）保安人员必须遵守法律法规和甲方和被服务学校的规章制度，服从乙方驻场负责人的管理。</w:t>
      </w:r>
    </w:p>
    <w:p w14:paraId="084F690E">
      <w:pPr>
        <w:adjustRightInd w:val="0"/>
        <w:snapToGrid w:val="0"/>
        <w:spacing w:line="360" w:lineRule="auto"/>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四、服务要求</w:t>
      </w:r>
    </w:p>
    <w:p w14:paraId="5630349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zh-CN"/>
        </w:rPr>
        <w:t>（一）</w:t>
      </w:r>
      <w:r>
        <w:rPr>
          <w:rFonts w:hint="eastAsia" w:ascii="仿宋_GB2312" w:hAnsi="仿宋_GB2312" w:eastAsia="仿宋_GB2312" w:cs="仿宋_GB2312"/>
          <w:sz w:val="28"/>
          <w:szCs w:val="28"/>
        </w:rPr>
        <w:t>项目名称：西安高新区教育体育局2026-2027年度校园安保配备项目合同包</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14:paraId="73A42F05">
      <w:pPr>
        <w:adjustRightInd w:val="0"/>
        <w:snapToGrid w:val="0"/>
        <w:spacing w:line="360" w:lineRule="auto"/>
        <w:ind w:firstLine="560" w:firstLineChars="200"/>
        <w:jc w:val="left"/>
        <w:textAlignment w:val="baseline"/>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val="zh-CN"/>
        </w:rPr>
        <w:t>）服务地点：</w:t>
      </w:r>
    </w:p>
    <w:p w14:paraId="60D43993">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合同包1：负责丈八街道、鱼化街道、细柳街道、灵沼街道、兴隆街道辖区学校(园)共计32所。</w:t>
      </w:r>
    </w:p>
    <w:p w14:paraId="649A12A3">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合同包2：负责五星街道、草堂街道、庞光街道、秦渡街道、东大街道辖区学校(园)共计37所。</w:t>
      </w:r>
    </w:p>
    <w:p w14:paraId="58A6480F">
      <w:pPr>
        <w:adjustRightInd w:val="0"/>
        <w:snapToGrid w:val="0"/>
        <w:spacing w:line="360" w:lineRule="auto"/>
        <w:ind w:firstLine="560" w:firstLineChars="200"/>
        <w:jc w:val="left"/>
        <w:textAlignment w:val="baseline"/>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服务期：2026年8月23日至2027年8月22日。</w:t>
      </w:r>
    </w:p>
    <w:p w14:paraId="729790D6">
      <w:pPr>
        <w:wordWrap w:val="0"/>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（四）服务人数：根据甲方的安全工作要求，乙方向甲方派驻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名保安，执行安保服务工作。未经甲方书面同意，乙方不得擅自减少派驻人数，每少派1人/日，按【300】元/日标准向甲方支付违约金。</w:t>
      </w:r>
    </w:p>
    <w:p w14:paraId="368DF9B7">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（五）服务内容：依照招标文件、甲方和被服务学校实际需要、本着“安全第一、服务至上”的原则，乙方向本合同范围内的校园提供全方位安保服务。</w:t>
      </w:r>
    </w:p>
    <w:p w14:paraId="1245499A">
      <w:pPr>
        <w:adjustRightInd w:val="0"/>
        <w:snapToGrid w:val="0"/>
        <w:spacing w:line="360" w:lineRule="auto"/>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rPr>
        <w:t>（六）服务质量标准：服务质量符合国家、陕西省及西安市行业相关规定要求，并满足甲方及所在学校的要求。乙方的投标文件和承诺等内容是本合同的组成部分，与本合同具有同等法律效力。</w:t>
      </w:r>
    </w:p>
    <w:p w14:paraId="0056C62D">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五、甲方权利和义务</w:t>
      </w:r>
    </w:p>
    <w:p w14:paraId="25D07AF5">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（一）甲方行使对乙方保安人员的工作检查、指导、考核、管理的权利；履行教育所服务校园员工支持、协助保安人员做好安防工作的义务，但不得安排保安队员从事与本合同无关及超出保安职责范围的活动。 </w:t>
      </w:r>
    </w:p>
    <w:p w14:paraId="73F68C86">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二）为确保安全，甲方应要求所服务校园对贵重物品、有价证券、钞票等进行财产保险和妥善保管，并在库房、财务室等重要部位安装和完善必要的防盗、防火、防爆、防破坏等安全防范设施和技防报警措施，以免因内部管理不善造成损失。</w:t>
      </w:r>
    </w:p>
    <w:p w14:paraId="4ADD51F7">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（三）对乙方保安人员提出的不安全隐患、漏洞和合理化建议，乙方应及时加以整改或完善，以防案件和事故发生。</w:t>
      </w:r>
    </w:p>
    <w:p w14:paraId="0E905C1F">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（四）对确属违规、违纪或屡教不改的保安队员，有权提出批评教育或向乙方通知提出辞换。</w:t>
      </w:r>
    </w:p>
    <w:p w14:paraId="22813A69">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（五）由于所服务校园勤务现场安全设施不完善，标志不明显，造成的责任事故甲方承担，但因乙方原因造成的责任事故由乙方承担责任。</w:t>
      </w:r>
    </w:p>
    <w:p w14:paraId="6407FAE0">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（六）甲方按约定时间足额支付保安服务费，乙方逾期形成工资拖欠，造成的后果乙方负责。 </w:t>
      </w:r>
    </w:p>
    <w:p w14:paraId="4090E148">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（七）甲方负责提供保安人员所使用的警卫室或办公场所，以便日常规范管理来访及交接工作。不提供服装、保安器械，不提供工作餐（可自行到食堂消费），不提供住宿。 </w:t>
      </w:r>
    </w:p>
    <w:p w14:paraId="2855CD4E">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（八）如因乙方保安人员工作失职、疏漏、擅离职守、不作为、乱作为等原因造成的校园人身和财产损失，责任全部由乙方承担，甲方有权终止合同。</w:t>
      </w:r>
    </w:p>
    <w:p w14:paraId="52F1E135">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（九）保安队员因劳动关系产生纠纷，应当乙方承担责任，甲方不承担任何责任。</w:t>
      </w:r>
    </w:p>
    <w:p w14:paraId="0AB65609">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（十）乙方派出的保安人员在工作期间发生疾病、人身损伤或死亡，甲方不承担任何责任，善后事务处理由乙方承担。</w:t>
      </w:r>
    </w:p>
    <w:p w14:paraId="2A937BE0">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六、乙方权利和义务</w:t>
      </w:r>
    </w:p>
    <w:p w14:paraId="003A26E6">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（一）乙方根据本合同服务种类，按照《保安服务操作规程与质量控制》，认真履行职责，维护甲方治安秩序，做好安全防范工作。 </w:t>
      </w:r>
    </w:p>
    <w:p w14:paraId="60D3FE34">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乙方所聘用的保安人员应有吃苦耐劳的精神和高度的责任感，应当受过专门的岗前培训，持保安员上岗证，熟知学校的管理规定，严格履行岗位职责，善于发现各类问题，具备一定的管理经验和处理突发事件能力。 </w:t>
      </w:r>
    </w:p>
    <w:p w14:paraId="1D18724A">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（三）乙方根据本合同服务种类，按照《保安服务操作规程与质量控制》及相关要求，认真履行职责，做好门禁、学生上下学安全执勤等工作。</w:t>
      </w:r>
    </w:p>
    <w:p w14:paraId="5DFF5AC2">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（四）保安队员应接受甲方和被服务学校的检查、考核和管理，遵守甲方和被服务学校的工作纪律和有关规章制度，如有违纪、违规，乙方当事人应按规定接受处罚，但超出保安职责或本合同范围除外。 </w:t>
      </w:r>
    </w:p>
    <w:p w14:paraId="5FE3A708">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（五）乙方为保安队员的合同方，应按劳动法规定标准发放工资、补贴，购买社保及保险。保安队员在岗位履职中发生人身伤害及不可预测险时，责任由乙承担，甲方在无过错情况下不承担责任。</w:t>
      </w:r>
    </w:p>
    <w:p w14:paraId="6770E4E2">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（六）为保障安全，乙方有权对甲方存在的不安全隐患和漏洞提出整改建议。</w:t>
      </w:r>
    </w:p>
    <w:p w14:paraId="7326F3F2">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（七）乙方保安队员有违法违纪行为时，按有关规定严肃处理，由于保安队员失职、玩忽职守，造成甲方或被服务学校损失时，乙方承担一切法律责任和经济损失。</w:t>
      </w:r>
    </w:p>
    <w:p w14:paraId="38EDF46C">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（八）保安服务中遇有甲方因涉及经济纠纷、诉讼、法规政策等问题，造成干扰或损失时乙方不予承担。</w:t>
      </w:r>
    </w:p>
    <w:p w14:paraId="12FB6C6A">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（九）乙方承担保安队员工资待遇、服装劳保、法定费用、税率等综合管理费用。</w:t>
      </w:r>
    </w:p>
    <w:p w14:paraId="041C991E">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（十）乙方要利用寒暑假每半年对所有校卫队员进行业务能力培训和考核，甲方对考核情况有监督权。 </w:t>
      </w:r>
    </w:p>
    <w:p w14:paraId="11D3C3CA">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十一）乙方按国家标准为执勤队员提供橡胶警棍、自卫喷雾剂、防暴头盔、防护盾牌、防刺背心、防割手套、强光手电等执勤安保器械，并负责日常维护与定期检修，确保完好可用。如因器械不合格导致损失，乙方承担全部责任。</w:t>
      </w:r>
    </w:p>
    <w:p w14:paraId="35148DE5">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（十二）乙方派驻的保安人员应服从甲方和被服务学校工作人员的安排。因事、因病或其他原因缺勤的，由乙方24小时内调配同等资质人员补充，并提前汇报甲方，同时甲方不再承担此费用。</w:t>
      </w:r>
    </w:p>
    <w:p w14:paraId="769279D8">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（十三）乙方不得将本项目转让、分包给其它任何单位或个人。</w:t>
      </w:r>
    </w:p>
    <w:p w14:paraId="64E1071D">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七、考核办法</w:t>
      </w:r>
    </w:p>
    <w:p w14:paraId="265F4974">
      <w:pPr>
        <w:adjustRightInd w:val="0"/>
        <w:snapToGrid w:val="0"/>
        <w:spacing w:line="360" w:lineRule="auto"/>
        <w:ind w:firstLine="560" w:firstLineChars="200"/>
        <w:rPr>
          <w:rFonts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zh-CN"/>
        </w:rPr>
        <w:t>）考核办法及内容</w:t>
      </w:r>
    </w:p>
    <w:p w14:paraId="33E144CB">
      <w:pPr>
        <w:adjustRightInd w:val="0"/>
        <w:snapToGrid w:val="0"/>
        <w:spacing w:line="360" w:lineRule="auto"/>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lang w:val="zh-CN"/>
        </w:rPr>
        <w:t>保安服务质量由各被服务学校负责考核，具体保安服务质量量化考核表如下，各被服务学校可结合自身实际情况，对保安服务质量量化考核表内容进行适应性调整。</w:t>
      </w:r>
    </w:p>
    <w:p w14:paraId="52CDC4E3">
      <w:pPr>
        <w:pStyle w:val="6"/>
        <w:jc w:val="center"/>
        <w:rPr>
          <w:rFonts w:hint="default" w:ascii="仿宋_GB2312" w:hAnsi="仿宋_GB2312" w:eastAsia="仿宋_GB2312" w:cs="仿宋_GB2312"/>
          <w:b/>
          <w:bCs/>
          <w:sz w:val="28"/>
          <w:szCs w:val="28"/>
          <w:lang w:eastAsia="zh-CN"/>
        </w:rPr>
      </w:pPr>
      <w:r>
        <w:rPr>
          <w:rFonts w:ascii="仿宋_GB2312" w:hAnsi="仿宋_GB2312" w:eastAsia="仿宋_GB2312" w:cs="仿宋_GB2312"/>
          <w:b/>
          <w:bCs/>
          <w:sz w:val="28"/>
          <w:szCs w:val="28"/>
          <w:lang w:eastAsia="zh-CN"/>
        </w:rPr>
        <w:t>保安服务质量量化考核表(满分100)</w:t>
      </w:r>
    </w:p>
    <w:tbl>
      <w:tblPr>
        <w:tblStyle w:val="7"/>
        <w:tblW w:w="8679" w:type="dxa"/>
        <w:tblInd w:w="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4"/>
        <w:gridCol w:w="967"/>
        <w:gridCol w:w="1184"/>
        <w:gridCol w:w="3736"/>
        <w:gridCol w:w="814"/>
        <w:gridCol w:w="500"/>
        <w:gridCol w:w="984"/>
      </w:tblGrid>
      <w:tr w14:paraId="146F5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494" w:type="dxa"/>
            <w:vAlign w:val="center"/>
          </w:tcPr>
          <w:p w14:paraId="77904901">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序</w:t>
            </w:r>
            <w:r>
              <w:rPr>
                <w:rFonts w:hint="eastAsia" w:ascii="仿宋_GB2312" w:hAnsi="仿宋_GB2312" w:eastAsia="仿宋_GB2312" w:cs="仿宋_GB2312"/>
                <w:spacing w:val="17"/>
                <w:sz w:val="28"/>
                <w:szCs w:val="28"/>
              </w:rPr>
              <w:t xml:space="preserve">   </w:t>
            </w:r>
            <w:r>
              <w:rPr>
                <w:rFonts w:hint="eastAsia" w:ascii="仿宋_GB2312" w:hAnsi="仿宋_GB2312" w:eastAsia="仿宋_GB2312" w:cs="仿宋_GB2312"/>
                <w:sz w:val="28"/>
                <w:szCs w:val="28"/>
              </w:rPr>
              <w:t>号</w:t>
            </w:r>
          </w:p>
        </w:tc>
        <w:tc>
          <w:tcPr>
            <w:tcW w:w="967" w:type="dxa"/>
            <w:vAlign w:val="center"/>
          </w:tcPr>
          <w:p w14:paraId="1A172D77">
            <w:pPr>
              <w:spacing w:line="500" w:lineRule="exact"/>
              <w:jc w:val="center"/>
              <w:rPr>
                <w:rFonts w:ascii="仿宋_GB2312" w:hAnsi="仿宋_GB2312" w:eastAsia="仿宋_GB2312" w:cs="仿宋_GB2312"/>
                <w:spacing w:val="10"/>
                <w:sz w:val="28"/>
                <w:szCs w:val="28"/>
              </w:rPr>
            </w:pPr>
            <w:r>
              <w:rPr>
                <w:rFonts w:hint="eastAsia" w:ascii="仿宋_GB2312" w:hAnsi="仿宋_GB2312" w:eastAsia="仿宋_GB2312" w:cs="仿宋_GB2312"/>
                <w:spacing w:val="10"/>
                <w:sz w:val="28"/>
                <w:szCs w:val="28"/>
              </w:rPr>
              <w:t>检查</w:t>
            </w:r>
          </w:p>
          <w:p w14:paraId="294D2E8F">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10"/>
                <w:sz w:val="28"/>
                <w:szCs w:val="28"/>
              </w:rPr>
              <w:t>项目</w:t>
            </w:r>
          </w:p>
        </w:tc>
        <w:tc>
          <w:tcPr>
            <w:tcW w:w="1184" w:type="dxa"/>
            <w:vAlign w:val="center"/>
          </w:tcPr>
          <w:p w14:paraId="29A8BBC5">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2"/>
                <w:sz w:val="28"/>
                <w:szCs w:val="28"/>
              </w:rPr>
              <w:t>考核指标</w:t>
            </w:r>
          </w:p>
        </w:tc>
        <w:tc>
          <w:tcPr>
            <w:tcW w:w="3736" w:type="dxa"/>
            <w:vAlign w:val="center"/>
          </w:tcPr>
          <w:p w14:paraId="183A901B">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3"/>
                <w:sz w:val="28"/>
                <w:szCs w:val="28"/>
              </w:rPr>
              <w:t>评分标准</w:t>
            </w:r>
          </w:p>
        </w:tc>
        <w:tc>
          <w:tcPr>
            <w:tcW w:w="814" w:type="dxa"/>
            <w:vAlign w:val="center"/>
          </w:tcPr>
          <w:p w14:paraId="5291D021">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3"/>
                <w:sz w:val="28"/>
                <w:szCs w:val="28"/>
              </w:rPr>
              <w:t>权重</w:t>
            </w:r>
          </w:p>
        </w:tc>
        <w:tc>
          <w:tcPr>
            <w:tcW w:w="500" w:type="dxa"/>
            <w:vAlign w:val="center"/>
          </w:tcPr>
          <w:p w14:paraId="50455A2E">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3"/>
                <w:sz w:val="28"/>
                <w:szCs w:val="28"/>
              </w:rPr>
              <w:t>得分</w:t>
            </w:r>
          </w:p>
        </w:tc>
        <w:tc>
          <w:tcPr>
            <w:tcW w:w="984" w:type="dxa"/>
            <w:vAlign w:val="center"/>
          </w:tcPr>
          <w:p w14:paraId="73A77679">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4"/>
                <w:sz w:val="28"/>
                <w:szCs w:val="28"/>
              </w:rPr>
              <w:t>扣分</w:t>
            </w:r>
          </w:p>
        </w:tc>
      </w:tr>
      <w:tr w14:paraId="0D48B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494" w:type="dxa"/>
            <w:vMerge w:val="restart"/>
            <w:tcBorders>
              <w:bottom w:val="nil"/>
            </w:tcBorders>
            <w:vAlign w:val="center"/>
          </w:tcPr>
          <w:p w14:paraId="0D91C696">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967" w:type="dxa"/>
            <w:vMerge w:val="restart"/>
            <w:tcBorders>
              <w:bottom w:val="nil"/>
            </w:tcBorders>
            <w:vAlign w:val="center"/>
          </w:tcPr>
          <w:p w14:paraId="02E3B903">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日常</w:t>
            </w:r>
          </w:p>
          <w:p w14:paraId="32C1ACA4">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2"/>
                <w:sz w:val="28"/>
                <w:szCs w:val="28"/>
              </w:rPr>
              <w:t>管理</w:t>
            </w:r>
          </w:p>
          <w:p w14:paraId="667741AB">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10"/>
                <w:sz w:val="28"/>
                <w:szCs w:val="28"/>
              </w:rPr>
              <w:t>(30分)</w:t>
            </w:r>
          </w:p>
        </w:tc>
        <w:tc>
          <w:tcPr>
            <w:tcW w:w="1184" w:type="dxa"/>
            <w:vAlign w:val="center"/>
          </w:tcPr>
          <w:p w14:paraId="26D46C11">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2"/>
                <w:sz w:val="28"/>
                <w:szCs w:val="28"/>
              </w:rPr>
              <w:t>出勤纪律</w:t>
            </w:r>
          </w:p>
        </w:tc>
        <w:tc>
          <w:tcPr>
            <w:tcW w:w="3736" w:type="dxa"/>
            <w:vAlign w:val="center"/>
          </w:tcPr>
          <w:p w14:paraId="01AE184A">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迟到/早退1次扣2分，旷 工1次扣5分</w:t>
            </w:r>
          </w:p>
        </w:tc>
        <w:tc>
          <w:tcPr>
            <w:tcW w:w="814" w:type="dxa"/>
            <w:vAlign w:val="center"/>
          </w:tcPr>
          <w:p w14:paraId="0FACF0A4">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7"/>
                <w:sz w:val="28"/>
                <w:szCs w:val="28"/>
              </w:rPr>
              <w:t>10</w:t>
            </w:r>
          </w:p>
        </w:tc>
        <w:tc>
          <w:tcPr>
            <w:tcW w:w="500" w:type="dxa"/>
            <w:vAlign w:val="center"/>
          </w:tcPr>
          <w:p w14:paraId="17EF0E20">
            <w:pPr>
              <w:pStyle w:val="8"/>
              <w:spacing w:line="400" w:lineRule="exact"/>
              <w:jc w:val="center"/>
              <w:rPr>
                <w:rFonts w:ascii="仿宋_GB2312" w:hAnsi="仿宋_GB2312" w:eastAsia="仿宋_GB2312" w:cs="仿宋_GB2312"/>
                <w:sz w:val="28"/>
                <w:szCs w:val="28"/>
              </w:rPr>
            </w:pPr>
          </w:p>
        </w:tc>
        <w:tc>
          <w:tcPr>
            <w:tcW w:w="984" w:type="dxa"/>
            <w:vAlign w:val="center"/>
          </w:tcPr>
          <w:p w14:paraId="7BA00AFD">
            <w:pPr>
              <w:pStyle w:val="8"/>
              <w:spacing w:line="400" w:lineRule="exact"/>
              <w:jc w:val="center"/>
              <w:rPr>
                <w:rFonts w:ascii="仿宋_GB2312" w:hAnsi="仿宋_GB2312" w:eastAsia="仿宋_GB2312" w:cs="仿宋_GB2312"/>
                <w:sz w:val="28"/>
                <w:szCs w:val="28"/>
              </w:rPr>
            </w:pPr>
          </w:p>
        </w:tc>
      </w:tr>
      <w:tr w14:paraId="3BFB7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494" w:type="dxa"/>
            <w:vMerge w:val="continue"/>
            <w:tcBorders>
              <w:top w:val="nil"/>
              <w:bottom w:val="nil"/>
            </w:tcBorders>
            <w:vAlign w:val="center"/>
          </w:tcPr>
          <w:p w14:paraId="1FF1C0C4">
            <w:pPr>
              <w:pStyle w:val="8"/>
              <w:spacing w:line="500" w:lineRule="exact"/>
              <w:jc w:val="center"/>
              <w:rPr>
                <w:rFonts w:ascii="仿宋_GB2312" w:hAnsi="仿宋_GB2312" w:eastAsia="仿宋_GB2312" w:cs="仿宋_GB2312"/>
                <w:sz w:val="28"/>
                <w:szCs w:val="28"/>
              </w:rPr>
            </w:pPr>
          </w:p>
        </w:tc>
        <w:tc>
          <w:tcPr>
            <w:tcW w:w="967" w:type="dxa"/>
            <w:vMerge w:val="continue"/>
            <w:tcBorders>
              <w:top w:val="nil"/>
              <w:bottom w:val="nil"/>
            </w:tcBorders>
            <w:vAlign w:val="center"/>
          </w:tcPr>
          <w:p w14:paraId="54048429">
            <w:pPr>
              <w:pStyle w:val="8"/>
              <w:spacing w:line="400" w:lineRule="exact"/>
              <w:jc w:val="center"/>
              <w:rPr>
                <w:rFonts w:ascii="仿宋_GB2312" w:hAnsi="仿宋_GB2312" w:eastAsia="仿宋_GB2312" w:cs="仿宋_GB2312"/>
                <w:sz w:val="28"/>
                <w:szCs w:val="28"/>
              </w:rPr>
            </w:pPr>
          </w:p>
        </w:tc>
        <w:tc>
          <w:tcPr>
            <w:tcW w:w="1184" w:type="dxa"/>
            <w:vAlign w:val="center"/>
          </w:tcPr>
          <w:p w14:paraId="3755709B">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2"/>
                <w:sz w:val="28"/>
                <w:szCs w:val="28"/>
              </w:rPr>
              <w:t>值班记录</w:t>
            </w:r>
          </w:p>
        </w:tc>
        <w:tc>
          <w:tcPr>
            <w:tcW w:w="3736" w:type="dxa"/>
            <w:vAlign w:val="center"/>
          </w:tcPr>
          <w:p w14:paraId="6608FBF9">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巡逻记录、交接班记录完 整清晰，缺失1次扣1分</w:t>
            </w:r>
          </w:p>
        </w:tc>
        <w:tc>
          <w:tcPr>
            <w:tcW w:w="814" w:type="dxa"/>
            <w:vAlign w:val="center"/>
          </w:tcPr>
          <w:p w14:paraId="622F6C87">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500" w:type="dxa"/>
            <w:vAlign w:val="center"/>
          </w:tcPr>
          <w:p w14:paraId="0DB941B5">
            <w:pPr>
              <w:pStyle w:val="8"/>
              <w:spacing w:line="400" w:lineRule="exact"/>
              <w:jc w:val="center"/>
              <w:rPr>
                <w:rFonts w:ascii="仿宋_GB2312" w:hAnsi="仿宋_GB2312" w:eastAsia="仿宋_GB2312" w:cs="仿宋_GB2312"/>
                <w:sz w:val="28"/>
                <w:szCs w:val="28"/>
              </w:rPr>
            </w:pPr>
          </w:p>
        </w:tc>
        <w:tc>
          <w:tcPr>
            <w:tcW w:w="984" w:type="dxa"/>
            <w:vAlign w:val="center"/>
          </w:tcPr>
          <w:p w14:paraId="1CF2EA8F">
            <w:pPr>
              <w:pStyle w:val="8"/>
              <w:spacing w:line="400" w:lineRule="exact"/>
              <w:jc w:val="center"/>
              <w:rPr>
                <w:rFonts w:ascii="仿宋_GB2312" w:hAnsi="仿宋_GB2312" w:eastAsia="仿宋_GB2312" w:cs="仿宋_GB2312"/>
                <w:sz w:val="28"/>
                <w:szCs w:val="28"/>
              </w:rPr>
            </w:pPr>
          </w:p>
        </w:tc>
      </w:tr>
      <w:tr w14:paraId="70F97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494" w:type="dxa"/>
            <w:vMerge w:val="continue"/>
            <w:tcBorders>
              <w:top w:val="nil"/>
              <w:bottom w:val="nil"/>
            </w:tcBorders>
            <w:vAlign w:val="center"/>
          </w:tcPr>
          <w:p w14:paraId="26631D66">
            <w:pPr>
              <w:pStyle w:val="8"/>
              <w:spacing w:line="500" w:lineRule="exact"/>
              <w:jc w:val="center"/>
              <w:rPr>
                <w:rFonts w:ascii="仿宋_GB2312" w:hAnsi="仿宋_GB2312" w:eastAsia="仿宋_GB2312" w:cs="仿宋_GB2312"/>
                <w:sz w:val="28"/>
                <w:szCs w:val="28"/>
              </w:rPr>
            </w:pPr>
          </w:p>
        </w:tc>
        <w:tc>
          <w:tcPr>
            <w:tcW w:w="967" w:type="dxa"/>
            <w:vMerge w:val="continue"/>
            <w:tcBorders>
              <w:top w:val="nil"/>
              <w:bottom w:val="nil"/>
            </w:tcBorders>
            <w:vAlign w:val="center"/>
          </w:tcPr>
          <w:p w14:paraId="29FBD443">
            <w:pPr>
              <w:pStyle w:val="8"/>
              <w:spacing w:line="400" w:lineRule="exact"/>
              <w:jc w:val="center"/>
              <w:rPr>
                <w:rFonts w:ascii="仿宋_GB2312" w:hAnsi="仿宋_GB2312" w:eastAsia="仿宋_GB2312" w:cs="仿宋_GB2312"/>
                <w:sz w:val="28"/>
                <w:szCs w:val="28"/>
              </w:rPr>
            </w:pPr>
          </w:p>
        </w:tc>
        <w:tc>
          <w:tcPr>
            <w:tcW w:w="1184" w:type="dxa"/>
            <w:vAlign w:val="center"/>
          </w:tcPr>
          <w:p w14:paraId="1F014439">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3"/>
                <w:sz w:val="28"/>
                <w:szCs w:val="28"/>
              </w:rPr>
              <w:t>卫生管理</w:t>
            </w:r>
          </w:p>
        </w:tc>
        <w:tc>
          <w:tcPr>
            <w:tcW w:w="3736" w:type="dxa"/>
            <w:vAlign w:val="center"/>
          </w:tcPr>
          <w:p w14:paraId="79602E4B">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岗位及周边区域卫生达 标，发现脏乱1次扣2分</w:t>
            </w:r>
          </w:p>
        </w:tc>
        <w:tc>
          <w:tcPr>
            <w:tcW w:w="814" w:type="dxa"/>
            <w:vAlign w:val="center"/>
          </w:tcPr>
          <w:p w14:paraId="1CD8FC29">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500" w:type="dxa"/>
            <w:vAlign w:val="center"/>
          </w:tcPr>
          <w:p w14:paraId="7C557CA3">
            <w:pPr>
              <w:pStyle w:val="8"/>
              <w:spacing w:line="400" w:lineRule="exact"/>
              <w:jc w:val="center"/>
              <w:rPr>
                <w:rFonts w:ascii="仿宋_GB2312" w:hAnsi="仿宋_GB2312" w:eastAsia="仿宋_GB2312" w:cs="仿宋_GB2312"/>
                <w:sz w:val="28"/>
                <w:szCs w:val="28"/>
              </w:rPr>
            </w:pPr>
          </w:p>
        </w:tc>
        <w:tc>
          <w:tcPr>
            <w:tcW w:w="984" w:type="dxa"/>
            <w:vAlign w:val="center"/>
          </w:tcPr>
          <w:p w14:paraId="2A87D08E">
            <w:pPr>
              <w:pStyle w:val="8"/>
              <w:spacing w:line="400" w:lineRule="exact"/>
              <w:jc w:val="center"/>
              <w:rPr>
                <w:rFonts w:ascii="仿宋_GB2312" w:hAnsi="仿宋_GB2312" w:eastAsia="仿宋_GB2312" w:cs="仿宋_GB2312"/>
                <w:sz w:val="28"/>
                <w:szCs w:val="28"/>
              </w:rPr>
            </w:pPr>
          </w:p>
        </w:tc>
      </w:tr>
      <w:tr w14:paraId="774F4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494" w:type="dxa"/>
            <w:vMerge w:val="continue"/>
            <w:tcBorders>
              <w:top w:val="nil"/>
            </w:tcBorders>
            <w:vAlign w:val="center"/>
          </w:tcPr>
          <w:p w14:paraId="3F581268">
            <w:pPr>
              <w:pStyle w:val="8"/>
              <w:spacing w:line="500" w:lineRule="exact"/>
              <w:jc w:val="center"/>
              <w:rPr>
                <w:rFonts w:ascii="仿宋_GB2312" w:hAnsi="仿宋_GB2312" w:eastAsia="仿宋_GB2312" w:cs="仿宋_GB2312"/>
                <w:sz w:val="28"/>
                <w:szCs w:val="28"/>
              </w:rPr>
            </w:pPr>
          </w:p>
        </w:tc>
        <w:tc>
          <w:tcPr>
            <w:tcW w:w="967" w:type="dxa"/>
            <w:vMerge w:val="continue"/>
            <w:tcBorders>
              <w:top w:val="nil"/>
            </w:tcBorders>
            <w:vAlign w:val="center"/>
          </w:tcPr>
          <w:p w14:paraId="6F347C3F">
            <w:pPr>
              <w:pStyle w:val="8"/>
              <w:spacing w:line="400" w:lineRule="exact"/>
              <w:jc w:val="center"/>
              <w:rPr>
                <w:rFonts w:ascii="仿宋_GB2312" w:hAnsi="仿宋_GB2312" w:eastAsia="仿宋_GB2312" w:cs="仿宋_GB2312"/>
                <w:sz w:val="28"/>
                <w:szCs w:val="28"/>
              </w:rPr>
            </w:pPr>
          </w:p>
        </w:tc>
        <w:tc>
          <w:tcPr>
            <w:tcW w:w="1184" w:type="dxa"/>
            <w:vAlign w:val="center"/>
          </w:tcPr>
          <w:p w14:paraId="2016845B">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2"/>
                <w:sz w:val="28"/>
                <w:szCs w:val="28"/>
              </w:rPr>
              <w:t>制度执行</w:t>
            </w:r>
          </w:p>
        </w:tc>
        <w:tc>
          <w:tcPr>
            <w:tcW w:w="3736" w:type="dxa"/>
            <w:vAlign w:val="center"/>
          </w:tcPr>
          <w:p w14:paraId="69FE45E0">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严格执行门禁、巡逻等制 度，违规操作1次扣3分</w:t>
            </w:r>
          </w:p>
        </w:tc>
        <w:tc>
          <w:tcPr>
            <w:tcW w:w="814" w:type="dxa"/>
            <w:vAlign w:val="center"/>
          </w:tcPr>
          <w:p w14:paraId="56B50EEA">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7</w:t>
            </w:r>
          </w:p>
        </w:tc>
        <w:tc>
          <w:tcPr>
            <w:tcW w:w="500" w:type="dxa"/>
            <w:vAlign w:val="center"/>
          </w:tcPr>
          <w:p w14:paraId="537EFDC5">
            <w:pPr>
              <w:pStyle w:val="8"/>
              <w:spacing w:line="400" w:lineRule="exact"/>
              <w:jc w:val="center"/>
              <w:rPr>
                <w:rFonts w:ascii="仿宋_GB2312" w:hAnsi="仿宋_GB2312" w:eastAsia="仿宋_GB2312" w:cs="仿宋_GB2312"/>
                <w:sz w:val="28"/>
                <w:szCs w:val="28"/>
              </w:rPr>
            </w:pPr>
          </w:p>
        </w:tc>
        <w:tc>
          <w:tcPr>
            <w:tcW w:w="984" w:type="dxa"/>
            <w:vAlign w:val="center"/>
          </w:tcPr>
          <w:p w14:paraId="19EC6059">
            <w:pPr>
              <w:pStyle w:val="8"/>
              <w:spacing w:line="400" w:lineRule="exact"/>
              <w:jc w:val="center"/>
              <w:rPr>
                <w:rFonts w:ascii="仿宋_GB2312" w:hAnsi="仿宋_GB2312" w:eastAsia="仿宋_GB2312" w:cs="仿宋_GB2312"/>
                <w:sz w:val="28"/>
                <w:szCs w:val="28"/>
              </w:rPr>
            </w:pPr>
          </w:p>
        </w:tc>
      </w:tr>
      <w:tr w14:paraId="29DBA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restart"/>
            <w:vAlign w:val="center"/>
          </w:tcPr>
          <w:p w14:paraId="3D465E53">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967" w:type="dxa"/>
            <w:vMerge w:val="restart"/>
            <w:vAlign w:val="center"/>
          </w:tcPr>
          <w:p w14:paraId="6BFEDFC6">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工作</w:t>
            </w:r>
          </w:p>
          <w:p w14:paraId="26367623">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形象</w:t>
            </w:r>
          </w:p>
          <w:p w14:paraId="5E49933D">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10"/>
                <w:sz w:val="28"/>
                <w:szCs w:val="28"/>
              </w:rPr>
              <w:t>(40分)</w:t>
            </w:r>
          </w:p>
        </w:tc>
        <w:tc>
          <w:tcPr>
            <w:tcW w:w="1184" w:type="dxa"/>
            <w:vAlign w:val="center"/>
          </w:tcPr>
          <w:p w14:paraId="57722353">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2"/>
                <w:sz w:val="28"/>
                <w:szCs w:val="28"/>
              </w:rPr>
              <w:t>仪容仪表</w:t>
            </w:r>
          </w:p>
        </w:tc>
        <w:tc>
          <w:tcPr>
            <w:tcW w:w="3736" w:type="dxa"/>
            <w:vAlign w:val="center"/>
          </w:tcPr>
          <w:p w14:paraId="39B67DEF">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制服整洁、佩戴工牌，违规1次扣2分</w:t>
            </w:r>
          </w:p>
        </w:tc>
        <w:tc>
          <w:tcPr>
            <w:tcW w:w="814" w:type="dxa"/>
            <w:vAlign w:val="center"/>
          </w:tcPr>
          <w:p w14:paraId="1E292084">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pacing w:val="-7"/>
                <w:sz w:val="28"/>
                <w:szCs w:val="28"/>
              </w:rPr>
              <w:t>12</w:t>
            </w:r>
          </w:p>
        </w:tc>
        <w:tc>
          <w:tcPr>
            <w:tcW w:w="500" w:type="dxa"/>
            <w:vAlign w:val="center"/>
          </w:tcPr>
          <w:p w14:paraId="3EA29168">
            <w:pPr>
              <w:pStyle w:val="8"/>
              <w:spacing w:line="400" w:lineRule="exact"/>
              <w:jc w:val="center"/>
              <w:rPr>
                <w:rFonts w:ascii="仿宋_GB2312" w:hAnsi="仿宋_GB2312" w:eastAsia="仿宋_GB2312" w:cs="仿宋_GB2312"/>
                <w:sz w:val="28"/>
                <w:szCs w:val="28"/>
              </w:rPr>
            </w:pPr>
          </w:p>
        </w:tc>
        <w:tc>
          <w:tcPr>
            <w:tcW w:w="984" w:type="dxa"/>
            <w:vAlign w:val="center"/>
          </w:tcPr>
          <w:p w14:paraId="274B2007">
            <w:pPr>
              <w:pStyle w:val="8"/>
              <w:spacing w:line="400" w:lineRule="exact"/>
              <w:jc w:val="center"/>
              <w:rPr>
                <w:rFonts w:ascii="仿宋_GB2312" w:hAnsi="仿宋_GB2312" w:eastAsia="仿宋_GB2312" w:cs="仿宋_GB2312"/>
                <w:sz w:val="28"/>
                <w:szCs w:val="28"/>
              </w:rPr>
            </w:pPr>
          </w:p>
        </w:tc>
      </w:tr>
      <w:tr w14:paraId="21953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13CFC4EC">
            <w:pPr>
              <w:spacing w:line="500" w:lineRule="exact"/>
              <w:jc w:val="center"/>
              <w:rPr>
                <w:rFonts w:ascii="仿宋_GB2312" w:hAnsi="仿宋_GB2312" w:eastAsia="仿宋_GB2312" w:cs="仿宋_GB2312"/>
                <w:sz w:val="28"/>
                <w:szCs w:val="28"/>
              </w:rPr>
            </w:pPr>
          </w:p>
        </w:tc>
        <w:tc>
          <w:tcPr>
            <w:tcW w:w="967" w:type="dxa"/>
            <w:vMerge w:val="continue"/>
            <w:vAlign w:val="center"/>
          </w:tcPr>
          <w:p w14:paraId="2B5F502D">
            <w:pPr>
              <w:spacing w:line="400" w:lineRule="exact"/>
              <w:jc w:val="center"/>
              <w:rPr>
                <w:rFonts w:ascii="仿宋_GB2312" w:hAnsi="仿宋_GB2312" w:eastAsia="仿宋_GB2312" w:cs="仿宋_GB2312"/>
                <w:spacing w:val="2"/>
                <w:sz w:val="28"/>
                <w:szCs w:val="28"/>
              </w:rPr>
            </w:pPr>
          </w:p>
        </w:tc>
        <w:tc>
          <w:tcPr>
            <w:tcW w:w="1184" w:type="dxa"/>
          </w:tcPr>
          <w:p w14:paraId="70EBDF2D">
            <w:pPr>
              <w:spacing w:line="400" w:lineRule="exact"/>
              <w:jc w:val="center"/>
              <w:rPr>
                <w:rFonts w:ascii="仿宋_GB2312" w:hAnsi="仿宋_GB2312" w:eastAsia="仿宋_GB2312" w:cs="仿宋_GB2312"/>
                <w:spacing w:val="2"/>
                <w:sz w:val="28"/>
                <w:szCs w:val="28"/>
              </w:rPr>
            </w:pPr>
          </w:p>
          <w:p w14:paraId="1A13E854">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文明执勤</w:t>
            </w:r>
          </w:p>
        </w:tc>
        <w:tc>
          <w:tcPr>
            <w:tcW w:w="3736" w:type="dxa"/>
            <w:vAlign w:val="center"/>
          </w:tcPr>
          <w:p w14:paraId="6DE7515C">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使用礼貌用语(如“您好” “请出示证件”),辱骂/推搡师生1次扣3分</w:t>
            </w:r>
          </w:p>
        </w:tc>
        <w:tc>
          <w:tcPr>
            <w:tcW w:w="814" w:type="dxa"/>
            <w:vAlign w:val="center"/>
          </w:tcPr>
          <w:p w14:paraId="11FB5584">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12</w:t>
            </w:r>
          </w:p>
        </w:tc>
        <w:tc>
          <w:tcPr>
            <w:tcW w:w="500" w:type="dxa"/>
            <w:vAlign w:val="center"/>
          </w:tcPr>
          <w:p w14:paraId="44774CD9">
            <w:pPr>
              <w:pStyle w:val="8"/>
              <w:spacing w:line="400" w:lineRule="exact"/>
              <w:jc w:val="center"/>
              <w:rPr>
                <w:rFonts w:ascii="仿宋_GB2312" w:hAnsi="仿宋_GB2312" w:eastAsia="仿宋_GB2312" w:cs="仿宋_GB2312"/>
                <w:sz w:val="28"/>
                <w:szCs w:val="28"/>
              </w:rPr>
            </w:pPr>
          </w:p>
        </w:tc>
        <w:tc>
          <w:tcPr>
            <w:tcW w:w="984" w:type="dxa"/>
            <w:vAlign w:val="center"/>
          </w:tcPr>
          <w:p w14:paraId="2EAC9012">
            <w:pPr>
              <w:pStyle w:val="8"/>
              <w:spacing w:line="400" w:lineRule="exact"/>
              <w:jc w:val="center"/>
              <w:rPr>
                <w:rFonts w:ascii="仿宋_GB2312" w:hAnsi="仿宋_GB2312" w:eastAsia="仿宋_GB2312" w:cs="仿宋_GB2312"/>
                <w:sz w:val="28"/>
                <w:szCs w:val="28"/>
              </w:rPr>
            </w:pPr>
          </w:p>
        </w:tc>
      </w:tr>
      <w:tr w14:paraId="037ED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494" w:type="dxa"/>
            <w:vMerge w:val="continue"/>
            <w:vAlign w:val="center"/>
          </w:tcPr>
          <w:p w14:paraId="3DD927F2">
            <w:pPr>
              <w:spacing w:line="500" w:lineRule="exact"/>
              <w:jc w:val="center"/>
              <w:rPr>
                <w:rFonts w:ascii="仿宋_GB2312" w:hAnsi="仿宋_GB2312" w:eastAsia="仿宋_GB2312" w:cs="仿宋_GB2312"/>
                <w:sz w:val="28"/>
                <w:szCs w:val="28"/>
              </w:rPr>
            </w:pPr>
          </w:p>
        </w:tc>
        <w:tc>
          <w:tcPr>
            <w:tcW w:w="967" w:type="dxa"/>
            <w:vMerge w:val="continue"/>
            <w:vAlign w:val="center"/>
          </w:tcPr>
          <w:p w14:paraId="184C7EC3">
            <w:pPr>
              <w:spacing w:line="400" w:lineRule="exact"/>
              <w:jc w:val="center"/>
              <w:rPr>
                <w:rFonts w:ascii="仿宋_GB2312" w:hAnsi="仿宋_GB2312" w:eastAsia="仿宋_GB2312" w:cs="仿宋_GB2312"/>
                <w:spacing w:val="2"/>
                <w:sz w:val="28"/>
                <w:szCs w:val="28"/>
              </w:rPr>
            </w:pPr>
          </w:p>
        </w:tc>
        <w:tc>
          <w:tcPr>
            <w:tcW w:w="1184" w:type="dxa"/>
            <w:vAlign w:val="center"/>
          </w:tcPr>
          <w:p w14:paraId="2BDE6E8D">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沟通能力</w:t>
            </w:r>
          </w:p>
        </w:tc>
        <w:tc>
          <w:tcPr>
            <w:tcW w:w="3736" w:type="dxa"/>
          </w:tcPr>
          <w:p w14:paraId="55163A3D">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与师生/访客沟通清晰有 效，因沟通问题引发矛盾 1次扣2分</w:t>
            </w:r>
          </w:p>
        </w:tc>
        <w:tc>
          <w:tcPr>
            <w:tcW w:w="814" w:type="dxa"/>
            <w:vAlign w:val="center"/>
          </w:tcPr>
          <w:p w14:paraId="7E33090E">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10</w:t>
            </w:r>
          </w:p>
        </w:tc>
        <w:tc>
          <w:tcPr>
            <w:tcW w:w="500" w:type="dxa"/>
            <w:vAlign w:val="center"/>
          </w:tcPr>
          <w:p w14:paraId="27DDB0C5">
            <w:pPr>
              <w:pStyle w:val="8"/>
              <w:spacing w:line="400" w:lineRule="exact"/>
              <w:jc w:val="center"/>
              <w:rPr>
                <w:rFonts w:ascii="仿宋_GB2312" w:hAnsi="仿宋_GB2312" w:eastAsia="仿宋_GB2312" w:cs="仿宋_GB2312"/>
                <w:sz w:val="28"/>
                <w:szCs w:val="28"/>
              </w:rPr>
            </w:pPr>
          </w:p>
        </w:tc>
        <w:tc>
          <w:tcPr>
            <w:tcW w:w="984" w:type="dxa"/>
            <w:vAlign w:val="center"/>
          </w:tcPr>
          <w:p w14:paraId="6038D5F0">
            <w:pPr>
              <w:pStyle w:val="8"/>
              <w:spacing w:line="400" w:lineRule="exact"/>
              <w:jc w:val="center"/>
              <w:rPr>
                <w:rFonts w:ascii="仿宋_GB2312" w:hAnsi="仿宋_GB2312" w:eastAsia="仿宋_GB2312" w:cs="仿宋_GB2312"/>
                <w:sz w:val="28"/>
                <w:szCs w:val="28"/>
              </w:rPr>
            </w:pPr>
          </w:p>
        </w:tc>
      </w:tr>
      <w:tr w14:paraId="41C16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73A268DE">
            <w:pPr>
              <w:spacing w:line="500" w:lineRule="exact"/>
              <w:jc w:val="center"/>
              <w:rPr>
                <w:rFonts w:ascii="仿宋_GB2312" w:hAnsi="仿宋_GB2312" w:eastAsia="仿宋_GB2312" w:cs="仿宋_GB2312"/>
                <w:sz w:val="28"/>
                <w:szCs w:val="28"/>
              </w:rPr>
            </w:pPr>
          </w:p>
        </w:tc>
        <w:tc>
          <w:tcPr>
            <w:tcW w:w="967" w:type="dxa"/>
            <w:vMerge w:val="continue"/>
            <w:vAlign w:val="center"/>
          </w:tcPr>
          <w:p w14:paraId="4B640462">
            <w:pPr>
              <w:spacing w:line="400" w:lineRule="exact"/>
              <w:jc w:val="center"/>
              <w:rPr>
                <w:rFonts w:ascii="仿宋_GB2312" w:hAnsi="仿宋_GB2312" w:eastAsia="仿宋_GB2312" w:cs="仿宋_GB2312"/>
                <w:spacing w:val="2"/>
                <w:sz w:val="28"/>
                <w:szCs w:val="28"/>
              </w:rPr>
            </w:pPr>
          </w:p>
        </w:tc>
        <w:tc>
          <w:tcPr>
            <w:tcW w:w="1184" w:type="dxa"/>
            <w:vAlign w:val="center"/>
          </w:tcPr>
          <w:p w14:paraId="1C0C9EBF">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团队协作</w:t>
            </w:r>
          </w:p>
        </w:tc>
        <w:tc>
          <w:tcPr>
            <w:tcW w:w="3736" w:type="dxa"/>
          </w:tcPr>
          <w:p w14:paraId="2F4644A9">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积极配合其他岗位工作， 推诿责任1次扣2分</w:t>
            </w:r>
          </w:p>
        </w:tc>
        <w:tc>
          <w:tcPr>
            <w:tcW w:w="814" w:type="dxa"/>
            <w:vAlign w:val="center"/>
          </w:tcPr>
          <w:p w14:paraId="735CD8F3">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6</w:t>
            </w:r>
          </w:p>
        </w:tc>
        <w:tc>
          <w:tcPr>
            <w:tcW w:w="500" w:type="dxa"/>
            <w:vAlign w:val="center"/>
          </w:tcPr>
          <w:p w14:paraId="0FA7CF3E">
            <w:pPr>
              <w:pStyle w:val="8"/>
              <w:spacing w:line="400" w:lineRule="exact"/>
              <w:jc w:val="center"/>
              <w:rPr>
                <w:rFonts w:ascii="仿宋_GB2312" w:hAnsi="仿宋_GB2312" w:eastAsia="仿宋_GB2312" w:cs="仿宋_GB2312"/>
                <w:sz w:val="28"/>
                <w:szCs w:val="28"/>
              </w:rPr>
            </w:pPr>
          </w:p>
        </w:tc>
        <w:tc>
          <w:tcPr>
            <w:tcW w:w="984" w:type="dxa"/>
            <w:vAlign w:val="center"/>
          </w:tcPr>
          <w:p w14:paraId="4D75923E">
            <w:pPr>
              <w:pStyle w:val="8"/>
              <w:spacing w:line="400" w:lineRule="exact"/>
              <w:jc w:val="center"/>
              <w:rPr>
                <w:rFonts w:ascii="仿宋_GB2312" w:hAnsi="仿宋_GB2312" w:eastAsia="仿宋_GB2312" w:cs="仿宋_GB2312"/>
                <w:sz w:val="28"/>
                <w:szCs w:val="28"/>
              </w:rPr>
            </w:pPr>
          </w:p>
        </w:tc>
      </w:tr>
      <w:tr w14:paraId="46FF0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restart"/>
            <w:vAlign w:val="center"/>
          </w:tcPr>
          <w:p w14:paraId="5921A17E">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967" w:type="dxa"/>
            <w:vMerge w:val="restart"/>
            <w:vAlign w:val="center"/>
          </w:tcPr>
          <w:p w14:paraId="01DEC544">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突发</w:t>
            </w:r>
          </w:p>
          <w:p w14:paraId="1CF1747D">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事件</w:t>
            </w:r>
          </w:p>
          <w:p w14:paraId="29E4F80E">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或异</w:t>
            </w:r>
          </w:p>
          <w:p w14:paraId="5B47A3EE">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常情</w:t>
            </w:r>
          </w:p>
          <w:p w14:paraId="5CCBB8FF">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况处理</w:t>
            </w:r>
          </w:p>
          <w:p w14:paraId="53FAB04F">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(30分)</w:t>
            </w:r>
          </w:p>
        </w:tc>
        <w:tc>
          <w:tcPr>
            <w:tcW w:w="1184" w:type="dxa"/>
            <w:vAlign w:val="center"/>
          </w:tcPr>
          <w:p w14:paraId="01C7628F">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响应速度</w:t>
            </w:r>
          </w:p>
        </w:tc>
        <w:tc>
          <w:tcPr>
            <w:tcW w:w="3736" w:type="dxa"/>
            <w:vAlign w:val="center"/>
          </w:tcPr>
          <w:p w14:paraId="5110B08E">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火灾、盗窃等事件响应≤3 分钟，每超1分钟扣2分</w:t>
            </w:r>
          </w:p>
        </w:tc>
        <w:tc>
          <w:tcPr>
            <w:tcW w:w="814" w:type="dxa"/>
            <w:vAlign w:val="center"/>
          </w:tcPr>
          <w:p w14:paraId="47D9FE21">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10</w:t>
            </w:r>
          </w:p>
        </w:tc>
        <w:tc>
          <w:tcPr>
            <w:tcW w:w="500" w:type="dxa"/>
            <w:vAlign w:val="center"/>
          </w:tcPr>
          <w:p w14:paraId="3D3A139F">
            <w:pPr>
              <w:pStyle w:val="8"/>
              <w:spacing w:line="400" w:lineRule="exact"/>
              <w:jc w:val="center"/>
              <w:rPr>
                <w:rFonts w:ascii="仿宋_GB2312" w:hAnsi="仿宋_GB2312" w:eastAsia="仿宋_GB2312" w:cs="仿宋_GB2312"/>
                <w:sz w:val="28"/>
                <w:szCs w:val="28"/>
              </w:rPr>
            </w:pPr>
          </w:p>
        </w:tc>
        <w:tc>
          <w:tcPr>
            <w:tcW w:w="984" w:type="dxa"/>
            <w:vAlign w:val="center"/>
          </w:tcPr>
          <w:p w14:paraId="3D94C640">
            <w:pPr>
              <w:pStyle w:val="8"/>
              <w:spacing w:line="400" w:lineRule="exact"/>
              <w:jc w:val="center"/>
              <w:rPr>
                <w:rFonts w:ascii="仿宋_GB2312" w:hAnsi="仿宋_GB2312" w:eastAsia="仿宋_GB2312" w:cs="仿宋_GB2312"/>
                <w:sz w:val="28"/>
                <w:szCs w:val="28"/>
              </w:rPr>
            </w:pPr>
          </w:p>
        </w:tc>
      </w:tr>
      <w:tr w14:paraId="75579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03F4043A">
            <w:pPr>
              <w:spacing w:line="500" w:lineRule="exact"/>
              <w:jc w:val="center"/>
              <w:rPr>
                <w:rFonts w:ascii="仿宋_GB2312" w:hAnsi="仿宋_GB2312" w:eastAsia="仿宋_GB2312" w:cs="仿宋_GB2312"/>
                <w:sz w:val="28"/>
                <w:szCs w:val="28"/>
              </w:rPr>
            </w:pPr>
          </w:p>
        </w:tc>
        <w:tc>
          <w:tcPr>
            <w:tcW w:w="967" w:type="dxa"/>
            <w:vMerge w:val="continue"/>
            <w:vAlign w:val="center"/>
          </w:tcPr>
          <w:p w14:paraId="1E62460B">
            <w:pPr>
              <w:spacing w:line="400" w:lineRule="exact"/>
              <w:jc w:val="center"/>
              <w:rPr>
                <w:rFonts w:ascii="仿宋_GB2312" w:hAnsi="仿宋_GB2312" w:eastAsia="仿宋_GB2312" w:cs="仿宋_GB2312"/>
                <w:spacing w:val="2"/>
                <w:sz w:val="28"/>
                <w:szCs w:val="28"/>
              </w:rPr>
            </w:pPr>
          </w:p>
        </w:tc>
        <w:tc>
          <w:tcPr>
            <w:tcW w:w="1184" w:type="dxa"/>
            <w:vAlign w:val="center"/>
          </w:tcPr>
          <w:p w14:paraId="7E7C8F2D">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处置流程</w:t>
            </w:r>
          </w:p>
        </w:tc>
        <w:tc>
          <w:tcPr>
            <w:tcW w:w="3736" w:type="dxa"/>
            <w:vAlign w:val="center"/>
          </w:tcPr>
          <w:p w14:paraId="22C50C9E">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按预案操作(如疏散、警 戒、上报),流程错误1次扣3分</w:t>
            </w:r>
          </w:p>
        </w:tc>
        <w:tc>
          <w:tcPr>
            <w:tcW w:w="814" w:type="dxa"/>
            <w:vAlign w:val="center"/>
          </w:tcPr>
          <w:p w14:paraId="0D968699">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10</w:t>
            </w:r>
          </w:p>
        </w:tc>
        <w:tc>
          <w:tcPr>
            <w:tcW w:w="500" w:type="dxa"/>
            <w:vAlign w:val="center"/>
          </w:tcPr>
          <w:p w14:paraId="4379079F">
            <w:pPr>
              <w:pStyle w:val="8"/>
              <w:spacing w:line="400" w:lineRule="exact"/>
              <w:jc w:val="center"/>
              <w:rPr>
                <w:rFonts w:ascii="仿宋_GB2312" w:hAnsi="仿宋_GB2312" w:eastAsia="仿宋_GB2312" w:cs="仿宋_GB2312"/>
                <w:sz w:val="28"/>
                <w:szCs w:val="28"/>
              </w:rPr>
            </w:pPr>
          </w:p>
        </w:tc>
        <w:tc>
          <w:tcPr>
            <w:tcW w:w="984" w:type="dxa"/>
            <w:vAlign w:val="center"/>
          </w:tcPr>
          <w:p w14:paraId="65C4CC68">
            <w:pPr>
              <w:pStyle w:val="8"/>
              <w:spacing w:line="400" w:lineRule="exact"/>
              <w:jc w:val="center"/>
              <w:rPr>
                <w:rFonts w:ascii="仿宋_GB2312" w:hAnsi="仿宋_GB2312" w:eastAsia="仿宋_GB2312" w:cs="仿宋_GB2312"/>
                <w:sz w:val="28"/>
                <w:szCs w:val="28"/>
              </w:rPr>
            </w:pPr>
          </w:p>
        </w:tc>
      </w:tr>
      <w:tr w14:paraId="2BA6A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2DFA2CED">
            <w:pPr>
              <w:spacing w:line="500" w:lineRule="exact"/>
              <w:jc w:val="center"/>
              <w:rPr>
                <w:rFonts w:ascii="仿宋_GB2312" w:hAnsi="仿宋_GB2312" w:eastAsia="仿宋_GB2312" w:cs="仿宋_GB2312"/>
                <w:sz w:val="28"/>
                <w:szCs w:val="28"/>
              </w:rPr>
            </w:pPr>
          </w:p>
        </w:tc>
        <w:tc>
          <w:tcPr>
            <w:tcW w:w="967" w:type="dxa"/>
            <w:vMerge w:val="continue"/>
            <w:vAlign w:val="center"/>
          </w:tcPr>
          <w:p w14:paraId="3B0AE31C">
            <w:pPr>
              <w:spacing w:line="400" w:lineRule="exact"/>
              <w:jc w:val="center"/>
              <w:rPr>
                <w:rFonts w:ascii="仿宋_GB2312" w:hAnsi="仿宋_GB2312" w:eastAsia="仿宋_GB2312" w:cs="仿宋_GB2312"/>
                <w:spacing w:val="2"/>
                <w:sz w:val="28"/>
                <w:szCs w:val="28"/>
              </w:rPr>
            </w:pPr>
          </w:p>
        </w:tc>
        <w:tc>
          <w:tcPr>
            <w:tcW w:w="1184" w:type="dxa"/>
            <w:vAlign w:val="center"/>
          </w:tcPr>
          <w:p w14:paraId="278946B7">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协同配合</w:t>
            </w:r>
          </w:p>
        </w:tc>
        <w:tc>
          <w:tcPr>
            <w:tcW w:w="3736" w:type="dxa"/>
            <w:vAlign w:val="center"/>
          </w:tcPr>
          <w:p w14:paraId="62DEF3BB">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与警方/消防联动高效，因 配合失误导致延误扣3分</w:t>
            </w:r>
          </w:p>
        </w:tc>
        <w:tc>
          <w:tcPr>
            <w:tcW w:w="814" w:type="dxa"/>
            <w:vAlign w:val="center"/>
          </w:tcPr>
          <w:p w14:paraId="09B4CCB9">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10</w:t>
            </w:r>
          </w:p>
        </w:tc>
        <w:tc>
          <w:tcPr>
            <w:tcW w:w="500" w:type="dxa"/>
            <w:vAlign w:val="center"/>
          </w:tcPr>
          <w:p w14:paraId="41B5A78E">
            <w:pPr>
              <w:pStyle w:val="8"/>
              <w:spacing w:line="400" w:lineRule="exact"/>
              <w:jc w:val="center"/>
              <w:rPr>
                <w:rFonts w:ascii="仿宋_GB2312" w:hAnsi="仿宋_GB2312" w:eastAsia="仿宋_GB2312" w:cs="仿宋_GB2312"/>
                <w:sz w:val="28"/>
                <w:szCs w:val="28"/>
              </w:rPr>
            </w:pPr>
          </w:p>
        </w:tc>
        <w:tc>
          <w:tcPr>
            <w:tcW w:w="984" w:type="dxa"/>
            <w:vAlign w:val="center"/>
          </w:tcPr>
          <w:p w14:paraId="0CDCA493">
            <w:pPr>
              <w:pStyle w:val="8"/>
              <w:spacing w:line="400" w:lineRule="exact"/>
              <w:jc w:val="center"/>
              <w:rPr>
                <w:rFonts w:ascii="仿宋_GB2312" w:hAnsi="仿宋_GB2312" w:eastAsia="仿宋_GB2312" w:cs="仿宋_GB2312"/>
                <w:sz w:val="28"/>
                <w:szCs w:val="28"/>
              </w:rPr>
            </w:pPr>
          </w:p>
        </w:tc>
      </w:tr>
      <w:tr w14:paraId="44839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restart"/>
            <w:vAlign w:val="center"/>
          </w:tcPr>
          <w:p w14:paraId="6960822C">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967" w:type="dxa"/>
            <w:vMerge w:val="restart"/>
            <w:vAlign w:val="center"/>
          </w:tcPr>
          <w:p w14:paraId="541A8140">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加分项</w:t>
            </w:r>
          </w:p>
          <w:p w14:paraId="0BDF43F8">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(20分)</w:t>
            </w:r>
          </w:p>
        </w:tc>
        <w:tc>
          <w:tcPr>
            <w:tcW w:w="1184" w:type="dxa"/>
            <w:vAlign w:val="center"/>
          </w:tcPr>
          <w:p w14:paraId="0D25B89A">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拾金不昧</w:t>
            </w:r>
          </w:p>
        </w:tc>
        <w:tc>
          <w:tcPr>
            <w:tcW w:w="3736" w:type="dxa"/>
            <w:vAlign w:val="center"/>
          </w:tcPr>
          <w:p w14:paraId="4DCCC769">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归还失物价值≥500元加 3分，≥1000元加5分</w:t>
            </w:r>
          </w:p>
        </w:tc>
        <w:tc>
          <w:tcPr>
            <w:tcW w:w="814" w:type="dxa"/>
            <w:vAlign w:val="center"/>
          </w:tcPr>
          <w:p w14:paraId="53F61601">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8</w:t>
            </w:r>
          </w:p>
        </w:tc>
        <w:tc>
          <w:tcPr>
            <w:tcW w:w="500" w:type="dxa"/>
            <w:vAlign w:val="center"/>
          </w:tcPr>
          <w:p w14:paraId="33F4FAA8">
            <w:pPr>
              <w:pStyle w:val="8"/>
              <w:spacing w:line="400" w:lineRule="exact"/>
              <w:jc w:val="center"/>
              <w:rPr>
                <w:rFonts w:ascii="仿宋_GB2312" w:hAnsi="仿宋_GB2312" w:eastAsia="仿宋_GB2312" w:cs="仿宋_GB2312"/>
                <w:sz w:val="28"/>
                <w:szCs w:val="28"/>
              </w:rPr>
            </w:pPr>
          </w:p>
        </w:tc>
        <w:tc>
          <w:tcPr>
            <w:tcW w:w="984" w:type="dxa"/>
            <w:vAlign w:val="center"/>
          </w:tcPr>
          <w:p w14:paraId="0D08539B">
            <w:pPr>
              <w:pStyle w:val="8"/>
              <w:spacing w:line="400" w:lineRule="exact"/>
              <w:jc w:val="center"/>
              <w:rPr>
                <w:rFonts w:ascii="仿宋_GB2312" w:hAnsi="仿宋_GB2312" w:eastAsia="仿宋_GB2312" w:cs="仿宋_GB2312"/>
                <w:sz w:val="28"/>
                <w:szCs w:val="28"/>
              </w:rPr>
            </w:pPr>
          </w:p>
        </w:tc>
      </w:tr>
      <w:tr w14:paraId="71AE8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6E0B4B1F">
            <w:pPr>
              <w:spacing w:line="500" w:lineRule="exact"/>
              <w:jc w:val="center"/>
              <w:rPr>
                <w:rFonts w:ascii="仿宋_GB2312" w:hAnsi="仿宋_GB2312" w:eastAsia="仿宋_GB2312" w:cs="仿宋_GB2312"/>
                <w:sz w:val="28"/>
                <w:szCs w:val="28"/>
              </w:rPr>
            </w:pPr>
          </w:p>
        </w:tc>
        <w:tc>
          <w:tcPr>
            <w:tcW w:w="967" w:type="dxa"/>
            <w:vMerge w:val="continue"/>
            <w:vAlign w:val="center"/>
          </w:tcPr>
          <w:p w14:paraId="490D7E06">
            <w:pPr>
              <w:spacing w:line="400" w:lineRule="exact"/>
              <w:jc w:val="center"/>
              <w:rPr>
                <w:rFonts w:ascii="仿宋_GB2312" w:hAnsi="仿宋_GB2312" w:eastAsia="仿宋_GB2312" w:cs="仿宋_GB2312"/>
                <w:spacing w:val="2"/>
                <w:sz w:val="28"/>
                <w:szCs w:val="28"/>
              </w:rPr>
            </w:pPr>
          </w:p>
        </w:tc>
        <w:tc>
          <w:tcPr>
            <w:tcW w:w="1184" w:type="dxa"/>
            <w:vAlign w:val="center"/>
          </w:tcPr>
          <w:p w14:paraId="6548BC4E">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有效建议</w:t>
            </w:r>
          </w:p>
        </w:tc>
        <w:tc>
          <w:tcPr>
            <w:tcW w:w="3736" w:type="dxa"/>
            <w:vAlign w:val="center"/>
          </w:tcPr>
          <w:p w14:paraId="5F16D1B7">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提出安全管理优化建议并 被采纳，每条加2分</w:t>
            </w:r>
          </w:p>
        </w:tc>
        <w:tc>
          <w:tcPr>
            <w:tcW w:w="814" w:type="dxa"/>
            <w:vAlign w:val="center"/>
          </w:tcPr>
          <w:p w14:paraId="25538F8B">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6</w:t>
            </w:r>
          </w:p>
        </w:tc>
        <w:tc>
          <w:tcPr>
            <w:tcW w:w="500" w:type="dxa"/>
            <w:vAlign w:val="center"/>
          </w:tcPr>
          <w:p w14:paraId="036F7E17">
            <w:pPr>
              <w:pStyle w:val="8"/>
              <w:spacing w:line="400" w:lineRule="exact"/>
              <w:jc w:val="center"/>
              <w:rPr>
                <w:rFonts w:ascii="仿宋_GB2312" w:hAnsi="仿宋_GB2312" w:eastAsia="仿宋_GB2312" w:cs="仿宋_GB2312"/>
                <w:sz w:val="28"/>
                <w:szCs w:val="28"/>
              </w:rPr>
            </w:pPr>
          </w:p>
        </w:tc>
        <w:tc>
          <w:tcPr>
            <w:tcW w:w="984" w:type="dxa"/>
            <w:vAlign w:val="center"/>
          </w:tcPr>
          <w:p w14:paraId="59024AF7">
            <w:pPr>
              <w:pStyle w:val="8"/>
              <w:spacing w:line="400" w:lineRule="exact"/>
              <w:jc w:val="center"/>
              <w:rPr>
                <w:rFonts w:ascii="仿宋_GB2312" w:hAnsi="仿宋_GB2312" w:eastAsia="仿宋_GB2312" w:cs="仿宋_GB2312"/>
                <w:sz w:val="28"/>
                <w:szCs w:val="28"/>
              </w:rPr>
            </w:pPr>
          </w:p>
        </w:tc>
      </w:tr>
      <w:tr w14:paraId="2F443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5D13E9D5">
            <w:pPr>
              <w:spacing w:line="500" w:lineRule="exact"/>
              <w:jc w:val="center"/>
              <w:rPr>
                <w:rFonts w:ascii="仿宋_GB2312" w:hAnsi="仿宋_GB2312" w:eastAsia="仿宋_GB2312" w:cs="仿宋_GB2312"/>
                <w:sz w:val="28"/>
                <w:szCs w:val="28"/>
              </w:rPr>
            </w:pPr>
          </w:p>
        </w:tc>
        <w:tc>
          <w:tcPr>
            <w:tcW w:w="967" w:type="dxa"/>
            <w:vMerge w:val="continue"/>
            <w:vAlign w:val="center"/>
          </w:tcPr>
          <w:p w14:paraId="5A6C25EC">
            <w:pPr>
              <w:spacing w:line="400" w:lineRule="exact"/>
              <w:jc w:val="center"/>
              <w:rPr>
                <w:rFonts w:ascii="仿宋_GB2312" w:hAnsi="仿宋_GB2312" w:eastAsia="仿宋_GB2312" w:cs="仿宋_GB2312"/>
                <w:spacing w:val="2"/>
                <w:sz w:val="28"/>
                <w:szCs w:val="28"/>
              </w:rPr>
            </w:pPr>
          </w:p>
        </w:tc>
        <w:tc>
          <w:tcPr>
            <w:tcW w:w="1184" w:type="dxa"/>
            <w:vAlign w:val="center"/>
          </w:tcPr>
          <w:p w14:paraId="4BDD2DDF">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表彰奖励</w:t>
            </w:r>
          </w:p>
        </w:tc>
        <w:tc>
          <w:tcPr>
            <w:tcW w:w="3736" w:type="dxa"/>
            <w:vAlign w:val="center"/>
          </w:tcPr>
          <w:p w14:paraId="5318D71A">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获师生书面表扬1次加2 分，获校级通报表扬加3 分</w:t>
            </w:r>
          </w:p>
        </w:tc>
        <w:tc>
          <w:tcPr>
            <w:tcW w:w="814" w:type="dxa"/>
            <w:vAlign w:val="center"/>
          </w:tcPr>
          <w:p w14:paraId="499BE4D1">
            <w:pPr>
              <w:spacing w:before="78"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6</w:t>
            </w:r>
          </w:p>
        </w:tc>
        <w:tc>
          <w:tcPr>
            <w:tcW w:w="500" w:type="dxa"/>
            <w:vAlign w:val="center"/>
          </w:tcPr>
          <w:p w14:paraId="38C8F947">
            <w:pPr>
              <w:pStyle w:val="8"/>
              <w:spacing w:line="400" w:lineRule="exact"/>
              <w:jc w:val="center"/>
              <w:rPr>
                <w:rFonts w:ascii="仿宋_GB2312" w:hAnsi="仿宋_GB2312" w:eastAsia="仿宋_GB2312" w:cs="仿宋_GB2312"/>
                <w:sz w:val="28"/>
                <w:szCs w:val="28"/>
              </w:rPr>
            </w:pPr>
          </w:p>
        </w:tc>
        <w:tc>
          <w:tcPr>
            <w:tcW w:w="984" w:type="dxa"/>
            <w:vAlign w:val="center"/>
          </w:tcPr>
          <w:p w14:paraId="1CDF1F9B">
            <w:pPr>
              <w:pStyle w:val="8"/>
              <w:spacing w:line="400" w:lineRule="exact"/>
              <w:jc w:val="center"/>
              <w:rPr>
                <w:rFonts w:ascii="仿宋_GB2312" w:hAnsi="仿宋_GB2312" w:eastAsia="仿宋_GB2312" w:cs="仿宋_GB2312"/>
                <w:sz w:val="28"/>
                <w:szCs w:val="28"/>
              </w:rPr>
            </w:pPr>
          </w:p>
        </w:tc>
      </w:tr>
      <w:tr w14:paraId="75911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restart"/>
            <w:vAlign w:val="center"/>
          </w:tcPr>
          <w:p w14:paraId="73B2B715">
            <w:pPr>
              <w:spacing w:line="5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967" w:type="dxa"/>
            <w:vMerge w:val="restart"/>
            <w:vAlign w:val="center"/>
          </w:tcPr>
          <w:p w14:paraId="16592F61">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重大管理或投诉事件</w:t>
            </w:r>
          </w:p>
          <w:p w14:paraId="0AF00756">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(倒扣分)</w:t>
            </w:r>
          </w:p>
        </w:tc>
        <w:tc>
          <w:tcPr>
            <w:tcW w:w="1184" w:type="dxa"/>
            <w:vAlign w:val="center"/>
          </w:tcPr>
          <w:p w14:paraId="57E60302">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重大安全</w:t>
            </w:r>
          </w:p>
          <w:p w14:paraId="1478C2D1">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事故</w:t>
            </w:r>
          </w:p>
        </w:tc>
        <w:tc>
          <w:tcPr>
            <w:tcW w:w="3736" w:type="dxa"/>
            <w:vAlign w:val="center"/>
          </w:tcPr>
          <w:p w14:paraId="7A2E4E1F">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火灾、斗殴等未及时处置导致损失，扣3分</w:t>
            </w:r>
          </w:p>
        </w:tc>
        <w:tc>
          <w:tcPr>
            <w:tcW w:w="814" w:type="dxa"/>
            <w:vAlign w:val="center"/>
          </w:tcPr>
          <w:p w14:paraId="0A49B8E2">
            <w:pPr>
              <w:spacing w:line="400" w:lineRule="exact"/>
              <w:jc w:val="center"/>
              <w:rPr>
                <w:rFonts w:ascii="仿宋_GB2312" w:hAnsi="仿宋_GB2312" w:eastAsia="仿宋_GB2312" w:cs="仿宋_GB2312"/>
                <w:spacing w:val="-7"/>
                <w:sz w:val="28"/>
                <w:szCs w:val="28"/>
              </w:rPr>
            </w:pPr>
            <w:r>
              <w:rPr>
                <w:rFonts w:hint="eastAsia" w:ascii="仿宋_GB2312" w:hAnsi="仿宋_GB2312" w:eastAsia="仿宋_GB2312" w:cs="仿宋_GB2312"/>
                <w:spacing w:val="-7"/>
                <w:sz w:val="28"/>
                <w:szCs w:val="28"/>
              </w:rPr>
              <w:t>/</w:t>
            </w:r>
          </w:p>
        </w:tc>
        <w:tc>
          <w:tcPr>
            <w:tcW w:w="500" w:type="dxa"/>
            <w:vAlign w:val="center"/>
          </w:tcPr>
          <w:p w14:paraId="70CAB880">
            <w:pPr>
              <w:pStyle w:val="8"/>
              <w:spacing w:line="400" w:lineRule="exact"/>
              <w:jc w:val="center"/>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p>
        </w:tc>
        <w:tc>
          <w:tcPr>
            <w:tcW w:w="984" w:type="dxa"/>
            <w:vAlign w:val="center"/>
          </w:tcPr>
          <w:p w14:paraId="72DD7491">
            <w:pPr>
              <w:pStyle w:val="8"/>
              <w:spacing w:line="400" w:lineRule="exact"/>
              <w:jc w:val="center"/>
              <w:rPr>
                <w:rFonts w:ascii="仿宋_GB2312" w:hAnsi="仿宋_GB2312" w:eastAsia="仿宋_GB2312" w:cs="仿宋_GB2312"/>
                <w:sz w:val="28"/>
                <w:szCs w:val="28"/>
              </w:rPr>
            </w:pPr>
          </w:p>
        </w:tc>
      </w:tr>
      <w:tr w14:paraId="51522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74943DA4">
            <w:pPr>
              <w:spacing w:line="500" w:lineRule="exact"/>
              <w:jc w:val="center"/>
              <w:rPr>
                <w:rFonts w:ascii="仿宋_GB2312" w:hAnsi="仿宋_GB2312" w:eastAsia="仿宋_GB2312" w:cs="仿宋_GB2312"/>
                <w:sz w:val="28"/>
                <w:szCs w:val="28"/>
              </w:rPr>
            </w:pPr>
          </w:p>
        </w:tc>
        <w:tc>
          <w:tcPr>
            <w:tcW w:w="967" w:type="dxa"/>
            <w:vMerge w:val="continue"/>
            <w:vAlign w:val="center"/>
          </w:tcPr>
          <w:p w14:paraId="6311B570">
            <w:pPr>
              <w:spacing w:line="400" w:lineRule="exact"/>
              <w:jc w:val="center"/>
              <w:rPr>
                <w:rFonts w:ascii="仿宋_GB2312" w:hAnsi="仿宋_GB2312" w:eastAsia="仿宋_GB2312" w:cs="仿宋_GB2312"/>
                <w:spacing w:val="2"/>
                <w:sz w:val="28"/>
                <w:szCs w:val="28"/>
              </w:rPr>
            </w:pPr>
          </w:p>
        </w:tc>
        <w:tc>
          <w:tcPr>
            <w:tcW w:w="1184" w:type="dxa"/>
            <w:vAlign w:val="center"/>
          </w:tcPr>
          <w:p w14:paraId="7DDDD218">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有效投诉</w:t>
            </w:r>
          </w:p>
        </w:tc>
        <w:tc>
          <w:tcPr>
            <w:tcW w:w="3736" w:type="dxa"/>
          </w:tcPr>
          <w:p w14:paraId="084C203A">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因服务态度差、失职引发 有效投诉(经核实),每  次扣3分</w:t>
            </w:r>
          </w:p>
        </w:tc>
        <w:tc>
          <w:tcPr>
            <w:tcW w:w="814" w:type="dxa"/>
            <w:vAlign w:val="center"/>
          </w:tcPr>
          <w:p w14:paraId="121F2F1D">
            <w:pPr>
              <w:spacing w:line="400" w:lineRule="exact"/>
              <w:jc w:val="center"/>
              <w:rPr>
                <w:rFonts w:ascii="仿宋_GB2312" w:hAnsi="仿宋_GB2312" w:eastAsia="仿宋_GB2312" w:cs="仿宋_GB2312"/>
                <w:spacing w:val="-7"/>
                <w:sz w:val="28"/>
                <w:szCs w:val="28"/>
              </w:rPr>
            </w:pPr>
            <w:r>
              <w:rPr>
                <w:rFonts w:hint="eastAsia" w:ascii="仿宋_GB2312" w:hAnsi="仿宋_GB2312" w:eastAsia="仿宋_GB2312" w:cs="仿宋_GB2312"/>
                <w:spacing w:val="-7"/>
                <w:sz w:val="28"/>
                <w:szCs w:val="28"/>
              </w:rPr>
              <w:t>/</w:t>
            </w:r>
          </w:p>
        </w:tc>
        <w:tc>
          <w:tcPr>
            <w:tcW w:w="500" w:type="dxa"/>
            <w:vAlign w:val="center"/>
          </w:tcPr>
          <w:p w14:paraId="62CA35F6">
            <w:pPr>
              <w:pStyle w:val="8"/>
              <w:spacing w:line="400" w:lineRule="exact"/>
              <w:jc w:val="center"/>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p>
        </w:tc>
        <w:tc>
          <w:tcPr>
            <w:tcW w:w="984" w:type="dxa"/>
            <w:vAlign w:val="center"/>
          </w:tcPr>
          <w:p w14:paraId="1905512B">
            <w:pPr>
              <w:pStyle w:val="8"/>
              <w:spacing w:line="400" w:lineRule="exact"/>
              <w:jc w:val="center"/>
              <w:rPr>
                <w:rFonts w:ascii="仿宋_GB2312" w:hAnsi="仿宋_GB2312" w:eastAsia="仿宋_GB2312" w:cs="仿宋_GB2312"/>
                <w:sz w:val="28"/>
                <w:szCs w:val="28"/>
              </w:rPr>
            </w:pPr>
          </w:p>
        </w:tc>
      </w:tr>
      <w:tr w14:paraId="4FAD2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494" w:type="dxa"/>
            <w:vMerge w:val="continue"/>
            <w:vAlign w:val="center"/>
          </w:tcPr>
          <w:p w14:paraId="5411CB13">
            <w:pPr>
              <w:spacing w:line="500" w:lineRule="exact"/>
              <w:jc w:val="center"/>
              <w:rPr>
                <w:rFonts w:ascii="仿宋_GB2312" w:hAnsi="仿宋_GB2312" w:eastAsia="仿宋_GB2312" w:cs="仿宋_GB2312"/>
                <w:sz w:val="28"/>
                <w:szCs w:val="28"/>
              </w:rPr>
            </w:pPr>
          </w:p>
        </w:tc>
        <w:tc>
          <w:tcPr>
            <w:tcW w:w="967" w:type="dxa"/>
            <w:vMerge w:val="continue"/>
            <w:vAlign w:val="center"/>
          </w:tcPr>
          <w:p w14:paraId="502FA966">
            <w:pPr>
              <w:spacing w:line="400" w:lineRule="exact"/>
              <w:jc w:val="center"/>
              <w:rPr>
                <w:rFonts w:ascii="仿宋_GB2312" w:hAnsi="仿宋_GB2312" w:eastAsia="仿宋_GB2312" w:cs="仿宋_GB2312"/>
                <w:spacing w:val="2"/>
                <w:sz w:val="28"/>
                <w:szCs w:val="28"/>
              </w:rPr>
            </w:pPr>
          </w:p>
        </w:tc>
        <w:tc>
          <w:tcPr>
            <w:tcW w:w="1184" w:type="dxa"/>
            <w:vAlign w:val="center"/>
          </w:tcPr>
          <w:p w14:paraId="46118E8C">
            <w:pPr>
              <w:spacing w:line="4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违规操作</w:t>
            </w:r>
          </w:p>
        </w:tc>
        <w:tc>
          <w:tcPr>
            <w:tcW w:w="3736" w:type="dxa"/>
          </w:tcPr>
          <w:p w14:paraId="02E22A8E">
            <w:pPr>
              <w:spacing w:line="400" w:lineRule="exact"/>
              <w:rPr>
                <w:rFonts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私自使用器械、泄露监控 信息等，扣5分</w:t>
            </w:r>
          </w:p>
        </w:tc>
        <w:tc>
          <w:tcPr>
            <w:tcW w:w="814" w:type="dxa"/>
            <w:vAlign w:val="center"/>
          </w:tcPr>
          <w:p w14:paraId="05BA97FD">
            <w:pPr>
              <w:spacing w:line="400" w:lineRule="exact"/>
              <w:jc w:val="center"/>
              <w:rPr>
                <w:rFonts w:ascii="仿宋_GB2312" w:hAnsi="仿宋_GB2312" w:eastAsia="仿宋_GB2312" w:cs="仿宋_GB2312"/>
                <w:spacing w:val="-7"/>
                <w:sz w:val="28"/>
                <w:szCs w:val="28"/>
              </w:rPr>
            </w:pPr>
            <w:r>
              <w:rPr>
                <w:rFonts w:hint="eastAsia" w:ascii="仿宋_GB2312" w:hAnsi="仿宋_GB2312" w:eastAsia="仿宋_GB2312" w:cs="仿宋_GB2312"/>
                <w:spacing w:val="-7"/>
                <w:sz w:val="28"/>
                <w:szCs w:val="28"/>
              </w:rPr>
              <w:t>/</w:t>
            </w:r>
          </w:p>
        </w:tc>
        <w:tc>
          <w:tcPr>
            <w:tcW w:w="500" w:type="dxa"/>
            <w:vAlign w:val="center"/>
          </w:tcPr>
          <w:p w14:paraId="0837DD9E">
            <w:pPr>
              <w:pStyle w:val="8"/>
              <w:spacing w:line="400" w:lineRule="exact"/>
              <w:jc w:val="center"/>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p>
        </w:tc>
        <w:tc>
          <w:tcPr>
            <w:tcW w:w="984" w:type="dxa"/>
            <w:vAlign w:val="center"/>
          </w:tcPr>
          <w:p w14:paraId="44EEE532">
            <w:pPr>
              <w:pStyle w:val="8"/>
              <w:spacing w:line="400" w:lineRule="exact"/>
              <w:jc w:val="center"/>
              <w:rPr>
                <w:rFonts w:ascii="仿宋_GB2312" w:hAnsi="仿宋_GB2312" w:eastAsia="仿宋_GB2312" w:cs="仿宋_GB2312"/>
                <w:sz w:val="28"/>
                <w:szCs w:val="28"/>
              </w:rPr>
            </w:pPr>
          </w:p>
        </w:tc>
      </w:tr>
      <w:tr w14:paraId="6D376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8679" w:type="dxa"/>
            <w:gridSpan w:val="7"/>
            <w:vAlign w:val="center"/>
          </w:tcPr>
          <w:p w14:paraId="494196C4">
            <w:pPr>
              <w:pStyle w:val="8"/>
              <w:spacing w:line="50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考核期：xx年xx月xx日至xx年xx月xx日</w:t>
            </w:r>
          </w:p>
        </w:tc>
      </w:tr>
      <w:tr w14:paraId="32E7E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1461" w:type="dxa"/>
            <w:gridSpan w:val="2"/>
            <w:vAlign w:val="center"/>
          </w:tcPr>
          <w:p w14:paraId="0B01EFCB">
            <w:pPr>
              <w:spacing w:line="500" w:lineRule="exact"/>
              <w:jc w:val="center"/>
              <w:rPr>
                <w:rFonts w:ascii="仿宋_GB2312" w:hAnsi="仿宋_GB2312" w:eastAsia="仿宋_GB2312" w:cs="仿宋_GB2312"/>
                <w:spacing w:val="2"/>
                <w:sz w:val="28"/>
                <w:szCs w:val="28"/>
              </w:rPr>
            </w:pPr>
            <w:r>
              <w:rPr>
                <w:rFonts w:hint="eastAsia" w:ascii="仿宋_GB2312" w:hAnsi="仿宋_GB2312" w:eastAsia="仿宋_GB2312" w:cs="仿宋_GB2312"/>
                <w:sz w:val="28"/>
                <w:szCs w:val="28"/>
              </w:rPr>
              <w:t>考核得分</w:t>
            </w:r>
          </w:p>
        </w:tc>
        <w:tc>
          <w:tcPr>
            <w:tcW w:w="7218" w:type="dxa"/>
            <w:gridSpan w:val="5"/>
            <w:vAlign w:val="center"/>
          </w:tcPr>
          <w:p w14:paraId="2DA99137">
            <w:pPr>
              <w:pStyle w:val="8"/>
              <w:spacing w:line="500" w:lineRule="exact"/>
              <w:jc w:val="center"/>
              <w:rPr>
                <w:rFonts w:ascii="仿宋_GB2312" w:hAnsi="仿宋_GB2312" w:eastAsia="仿宋_GB2312" w:cs="仿宋_GB2312"/>
                <w:sz w:val="28"/>
                <w:szCs w:val="28"/>
              </w:rPr>
            </w:pPr>
          </w:p>
        </w:tc>
      </w:tr>
      <w:tr w14:paraId="35BF2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8679" w:type="dxa"/>
            <w:gridSpan w:val="7"/>
            <w:vAlign w:val="center"/>
          </w:tcPr>
          <w:p w14:paraId="4F4D2BD7">
            <w:pPr>
              <w:pStyle w:val="8"/>
              <w:spacing w:line="500" w:lineRule="exac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考核意见：</w:t>
            </w:r>
          </w:p>
          <w:p w14:paraId="7BC28068">
            <w:pPr>
              <w:pStyle w:val="8"/>
              <w:spacing w:line="500" w:lineRule="exact"/>
              <w:jc w:val="righ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（学校公章）</w:t>
            </w:r>
          </w:p>
          <w:p w14:paraId="00DA605F">
            <w:pPr>
              <w:pStyle w:val="8"/>
              <w:spacing w:line="500" w:lineRule="exact"/>
              <w:jc w:val="right"/>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年   月   日</w:t>
            </w:r>
          </w:p>
        </w:tc>
      </w:tr>
    </w:tbl>
    <w:p w14:paraId="0DA16E70">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（二）考核层次</w:t>
      </w:r>
    </w:p>
    <w:p w14:paraId="74FA722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考核结果分为四档，分别对应考核得分为：</w:t>
      </w:r>
    </w:p>
    <w:p w14:paraId="7E4203ED">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1、优秀：90分(含)以上；</w:t>
      </w:r>
    </w:p>
    <w:p w14:paraId="489C6B5C">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2、良好：80(含)-90分(不含);</w:t>
      </w:r>
    </w:p>
    <w:p w14:paraId="22867DB3">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3、合格：70(含)-80分(不含);</w:t>
      </w:r>
    </w:p>
    <w:p w14:paraId="5D860420">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4、不合格：低于70分，视为考核不合格。</w:t>
      </w:r>
    </w:p>
    <w:p w14:paraId="3010F39A">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（三）考核结果运用</w:t>
      </w:r>
    </w:p>
    <w:p w14:paraId="6ADAC03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1、考核结果作为支付服务费用的主要依据，视情形按考核评分档次支付服务费。</w:t>
      </w:r>
    </w:p>
    <w:p w14:paraId="61F4FE1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考核平均得分80分(含)以上的，服务费按付款比例全额支付；</w:t>
      </w:r>
    </w:p>
    <w:p w14:paraId="72B61563">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考核平均得分低于80 分(不含)的，服务费按付款比例的95%支付。</w:t>
      </w:r>
    </w:p>
    <w:p w14:paraId="49E12631">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2、若考核结果低于70分为不合格，连续两次考核不合格甲方有权单方面解除服务合同，造成相关损失由乙方全部承担。</w:t>
      </w:r>
    </w:p>
    <w:p w14:paraId="21BF9488">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八、违约责任</w:t>
      </w:r>
    </w:p>
    <w:p w14:paraId="155ED309">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（一）按《中华人民共和国政府采购法》第五章第五十条“政府采购合同的双方当事人不得擅自变更、中止或者终止 合同。政府采购合同继续履行将损害国家利益和社会公共利益的，双方当事人应当变更、中止或者终止合同。有过错的一方应当承担赔偿责任，双方都有过错的，各自承担相应的责任。”执行。</w:t>
      </w:r>
    </w:p>
    <w:p w14:paraId="68BB69DD">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（二）双方必须遵守本合同并执行合同中的各项规定，保证本合同的正常履行。</w:t>
      </w:r>
    </w:p>
    <w:p w14:paraId="0CB8402F">
      <w:pPr>
        <w:adjustRightInd w:val="0"/>
        <w:snapToGrid w:val="0"/>
        <w:spacing w:line="360" w:lineRule="auto"/>
        <w:ind w:firstLine="560" w:firstLineChars="200"/>
        <w:rPr>
          <w:rFonts w:ascii="仿宋_GB2312" w:hAnsi="仿宋_GB2312" w:eastAsia="仿宋_GB2312" w:cs="仿宋_GB2312"/>
          <w:b/>
          <w:bCs/>
          <w:sz w:val="28"/>
          <w:szCs w:val="28"/>
        </w:rPr>
      </w:pPr>
      <w:r>
        <w:rPr>
          <w:rFonts w:hint="eastAsia" w:ascii="仿宋_GB2312" w:hAnsi="仿宋_GB2312" w:eastAsia="仿宋_GB2312" w:cs="仿宋_GB2312"/>
          <w:sz w:val="28"/>
          <w:szCs w:val="28"/>
        </w:rPr>
        <w:t>（三）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A76A05">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（四）乙方有下列情形的，甲方会同监督机构有权解除合同和对乙方违约行为进行追究，同时按政府采购法的有关规定进行相应的处罚：</w:t>
      </w:r>
    </w:p>
    <w:p w14:paraId="571393F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1、乙方未按合同要求提供服务；</w:t>
      </w:r>
    </w:p>
    <w:p w14:paraId="66B5478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2、乙方将本项目转让、分包给第三人；</w:t>
      </w:r>
    </w:p>
    <w:p w14:paraId="64CA06C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3、乙方两次服务质量考核不合格；</w:t>
      </w:r>
    </w:p>
    <w:p w14:paraId="4CF96509">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4、其他不能满足采购要求的情形。</w:t>
      </w:r>
    </w:p>
    <w:p w14:paraId="5B2513F7">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九、保密义务</w:t>
      </w:r>
    </w:p>
    <w:p w14:paraId="2D306B61">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乙方及保安人员应对工作中知悉的甲方及服务学校的师生信息、安保方案等承担永久保密义务。如因乙方原因导致相关信息泄露，乙方应承担由此给甲方造成的全部损失，赔偿范围包括但不限于甲方的直接经济损失、间接经济损失以及甲方为追究乙方责任所支付的合理费用。</w:t>
      </w:r>
    </w:p>
    <w:p w14:paraId="0891364C">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十、合同争议解决的方式</w:t>
      </w:r>
    </w:p>
    <w:p w14:paraId="56580B20">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合同的签订、履行、解释、争议解决等均适用中华人民共和国法律。甲乙双方因履行本合同发生争议的，应当由双方经过友好协商解决。协商不成的，任何一方可就所发生的争议事项，依法向甲方所在地有管辖权的人民法院提起诉讼</w:t>
      </w:r>
    </w:p>
    <w:p w14:paraId="79A815E9">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十一、不可抗力 </w:t>
      </w:r>
    </w:p>
    <w:p w14:paraId="7CEA38C9">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任何一方受不可抗力影响而无法履行或被迫延期履行合同义务时，应在此类情况发生后的（14天）以内以书面形式通知对方，说明无法履行或延期履行合同义务的理由，并同时提供由当地公证机关或公认的权威部门出具的有效证明。双方中的任何一方因为不可抗力影响而无法履行或被迫延期履行合同义务的情况不应视为违约，其相关责任应视为不可抗力的影响程度而得到部分或全部免除。</w:t>
      </w:r>
    </w:p>
    <w:p w14:paraId="110E7E33">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（二）不可抗力因素导致的费用增加、财产损失、费用增加、工作延误等后果，甲乙双方按照下列情况处理： </w:t>
      </w:r>
    </w:p>
    <w:p w14:paraId="4C225CF6">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（1）甲乙双方各自承担人员伤害的损失； </w:t>
      </w:r>
    </w:p>
    <w:p w14:paraId="5221CF70">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（2）因不可抗力导致乙方一时不能履行合同义务，由乙方顺延合同履行期限，并补足； </w:t>
      </w:r>
    </w:p>
    <w:p w14:paraId="5C34A5FE">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（3）乙方在不可抗力期间，按照甲方要求照管学校的，照管人员的工资由乙方承担。 </w:t>
      </w:r>
    </w:p>
    <w:p w14:paraId="6FE198AC">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（三）不可抗力发生后，受影响的一方应当及时采取适当措施防止损失的扩大，并尽快以书面形式向另一方说明不可抗力的影响。甲乙双方应通过友好协商，分别或共同采取补救措施，最大限度地降低损失。</w:t>
      </w:r>
    </w:p>
    <w:p w14:paraId="5AA6FAD8">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（四）不可抗力的影响持续超过90天或累计超过180天以上的，甲乙双方可协商变更或解除本合同。</w:t>
      </w:r>
    </w:p>
    <w:p w14:paraId="1AEB43C7">
      <w:pPr>
        <w:adjustRightInd w:val="0"/>
        <w:snapToGrid w:val="0"/>
        <w:spacing w:line="360" w:lineRule="auto"/>
        <w:ind w:firstLine="562" w:firstLineChars="200"/>
        <w:rPr>
          <w:rFonts w:ascii="宋体" w:hAnsi="宋体" w:eastAsia="宋体" w:cs="宋体"/>
          <w:sz w:val="24"/>
        </w:rPr>
      </w:pPr>
      <w:r>
        <w:rPr>
          <w:rFonts w:hint="eastAsia" w:ascii="仿宋_GB2312" w:hAnsi="仿宋_GB2312" w:eastAsia="仿宋_GB2312" w:cs="仿宋_GB2312"/>
          <w:b/>
          <w:bCs/>
          <w:sz w:val="28"/>
          <w:szCs w:val="28"/>
        </w:rPr>
        <w:t>十二、合同的终止</w:t>
      </w:r>
      <w:r>
        <w:rPr>
          <w:rFonts w:ascii="宋体" w:hAnsi="宋体" w:eastAsia="宋体" w:cs="宋体"/>
          <w:sz w:val="24"/>
        </w:rPr>
        <w:t xml:space="preserve"> </w:t>
      </w:r>
    </w:p>
    <w:p w14:paraId="458F7F08">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（一）发生下列情形之一的，本合同终止：</w:t>
      </w:r>
    </w:p>
    <w:p w14:paraId="5437C375">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1、乙方停止营业或进入清算、重整程序； </w:t>
      </w:r>
    </w:p>
    <w:p w14:paraId="2CE01277">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2、乙方无法支付到期债务，全部或部分财产破产管理人或第三人接管；</w:t>
      </w:r>
    </w:p>
    <w:p w14:paraId="3013420D">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3、甲方行使解除权； </w:t>
      </w:r>
    </w:p>
    <w:p w14:paraId="2A276463">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4、不可抗力致使合同目的不能实现。 </w:t>
      </w:r>
    </w:p>
    <w:p w14:paraId="6098BF54">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（二）清理清算 </w:t>
      </w:r>
    </w:p>
    <w:p w14:paraId="2EAF455B">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1、合同终止后，甲方按照乙方实际提供服务的情况办理结算，并向乙方付款。</w:t>
      </w:r>
    </w:p>
    <w:p w14:paraId="12E8E96D">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2、甲方未付的承包服务费用，优先用于抵扣乙方违约金、损害赔偿等款项。</w:t>
      </w:r>
    </w:p>
    <w:p w14:paraId="6EC7BFAE">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3、合同因履行期限届满终止的，乙方应当负责保安人员的调离、安置工作。乙方迟延撤场的，每延迟一天，向甲方支付相当于合同终止日前一日服务费总额三倍的违约金。 </w:t>
      </w:r>
    </w:p>
    <w:p w14:paraId="6F342164">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合同提前终止的，不论终止原因，乙方应当维持自终止日向后至少30天的安保服务，标准同本合同约定，以确保甲方能够自行或委托第三方平稳、有序接管安保工作，该期限发生的费用，按照本合同约定结算、付款。</w:t>
      </w:r>
    </w:p>
    <w:p w14:paraId="2735033D">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十三、合同生效</w:t>
      </w:r>
    </w:p>
    <w:p w14:paraId="750C3A7F">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（一）本合同须经甲、乙双方的法定代表人（授权代理人）在合同书上签字并加盖本单位公章后正式生效。</w:t>
      </w:r>
    </w:p>
    <w:p w14:paraId="3BDB8B24">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（二）合同生效后，甲、乙双方须严格执行本合同条款的规定，全面履行合同，违者按《中华人民共和国民法典》的有关规定承担相应责任。</w:t>
      </w:r>
    </w:p>
    <w:p w14:paraId="459D5FCA">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（三）本合同一式</w:t>
      </w:r>
      <w:r>
        <w:rPr>
          <w:rFonts w:hint="eastAsia" w:ascii="仿宋_GB2312" w:hAnsi="仿宋_GB2312" w:eastAsia="仿宋_GB2312" w:cs="仿宋_GB2312"/>
          <w:sz w:val="28"/>
          <w:szCs w:val="28"/>
          <w:u w:val="single"/>
        </w:rPr>
        <w:t xml:space="preserve"> 陆 </w:t>
      </w:r>
      <w:r>
        <w:rPr>
          <w:rFonts w:hint="eastAsia" w:ascii="仿宋_GB2312" w:hAnsi="仿宋_GB2312" w:eastAsia="仿宋_GB2312" w:cs="仿宋_GB2312"/>
          <w:sz w:val="28"/>
          <w:szCs w:val="28"/>
        </w:rPr>
        <w:t>份，甲方执</w:t>
      </w:r>
      <w:r>
        <w:rPr>
          <w:rFonts w:hint="eastAsia" w:ascii="仿宋_GB2312" w:hAnsi="仿宋_GB2312" w:eastAsia="仿宋_GB2312" w:cs="仿宋_GB2312"/>
          <w:sz w:val="28"/>
          <w:szCs w:val="28"/>
          <w:u w:val="single"/>
        </w:rPr>
        <w:t xml:space="preserve"> 肆 </w:t>
      </w:r>
      <w:r>
        <w:rPr>
          <w:rFonts w:hint="eastAsia" w:ascii="仿宋_GB2312" w:hAnsi="仿宋_GB2312" w:eastAsia="仿宋_GB2312" w:cs="仿宋_GB2312"/>
          <w:sz w:val="28"/>
          <w:szCs w:val="28"/>
        </w:rPr>
        <w:t>份，乙方执</w:t>
      </w:r>
      <w:r>
        <w:rPr>
          <w:rFonts w:hint="eastAsia" w:ascii="仿宋_GB2312" w:hAnsi="仿宋_GB2312" w:eastAsia="仿宋_GB2312" w:cs="仿宋_GB2312"/>
          <w:sz w:val="28"/>
          <w:szCs w:val="28"/>
          <w:u w:val="single"/>
        </w:rPr>
        <w:t xml:space="preserve"> 贰 </w:t>
      </w:r>
      <w:r>
        <w:rPr>
          <w:rFonts w:hint="eastAsia" w:ascii="仿宋_GB2312" w:hAnsi="仿宋_GB2312" w:eastAsia="仿宋_GB2312" w:cs="仿宋_GB2312"/>
          <w:sz w:val="28"/>
          <w:szCs w:val="28"/>
        </w:rPr>
        <w:t>份。</w:t>
      </w:r>
    </w:p>
    <w:p w14:paraId="6F58943F">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（四）本合同在执行过程中，若遇到不可抗力的因素而影响本合同正常执行或需要修改、变更合同内容的，经双方协商一致后，可另签订补充协议，与合同具有同等法律效力。</w:t>
      </w:r>
    </w:p>
    <w:p w14:paraId="20F33260">
      <w:pPr>
        <w:adjustRightInd w:val="0"/>
        <w:snapToGrid w:val="0"/>
        <w:spacing w:line="360" w:lineRule="auto"/>
        <w:ind w:firstLine="560" w:firstLineChars="200"/>
        <w:rPr>
          <w:rFonts w:ascii="仿宋_GB2312" w:hAnsi="仿宋_GB2312" w:eastAsia="仿宋_GB2312" w:cs="仿宋_GB2312"/>
          <w:sz w:val="28"/>
          <w:szCs w:val="28"/>
        </w:rPr>
      </w:pPr>
    </w:p>
    <w:tbl>
      <w:tblPr>
        <w:tblStyle w:val="4"/>
        <w:tblW w:w="0" w:type="auto"/>
        <w:jc w:val="center"/>
        <w:tblLayout w:type="fixed"/>
        <w:tblCellMar>
          <w:top w:w="0" w:type="dxa"/>
          <w:left w:w="108" w:type="dxa"/>
          <w:bottom w:w="0" w:type="dxa"/>
          <w:right w:w="108" w:type="dxa"/>
        </w:tblCellMar>
      </w:tblPr>
      <w:tblGrid>
        <w:gridCol w:w="4201"/>
        <w:gridCol w:w="4202"/>
      </w:tblGrid>
      <w:tr w14:paraId="67618721">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021F7767">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甲  方</w:t>
            </w:r>
          </w:p>
        </w:tc>
        <w:tc>
          <w:tcPr>
            <w:tcW w:w="4202" w:type="dxa"/>
            <w:tcBorders>
              <w:top w:val="nil"/>
              <w:left w:val="nil"/>
              <w:bottom w:val="nil"/>
              <w:right w:val="nil"/>
            </w:tcBorders>
            <w:vAlign w:val="center"/>
          </w:tcPr>
          <w:p w14:paraId="34DF4425">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乙  方</w:t>
            </w:r>
          </w:p>
        </w:tc>
      </w:tr>
      <w:tr w14:paraId="785EE215">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6C58B98A">
            <w:pPr>
              <w:autoSpaceDE w:val="0"/>
              <w:autoSpaceDN w:val="0"/>
              <w:adjustRightInd w:val="0"/>
              <w:ind w:firstLine="840" w:firstLineChars="35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tcBorders>
              <w:top w:val="nil"/>
              <w:left w:val="nil"/>
              <w:bottom w:val="nil"/>
              <w:right w:val="nil"/>
            </w:tcBorders>
            <w:vAlign w:val="center"/>
          </w:tcPr>
          <w:p w14:paraId="77DB59A3">
            <w:pPr>
              <w:autoSpaceDE w:val="0"/>
              <w:autoSpaceDN w:val="0"/>
              <w:adjustRightInd w:val="0"/>
              <w:ind w:firstLine="960" w:firstLineChars="40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4564442C">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28F24D14">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tcBorders>
              <w:top w:val="nil"/>
              <w:left w:val="nil"/>
              <w:bottom w:val="nil"/>
              <w:right w:val="nil"/>
            </w:tcBorders>
            <w:vAlign w:val="center"/>
          </w:tcPr>
          <w:p w14:paraId="20EC3D99">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7153DE57">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67564ED6">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tcBorders>
              <w:top w:val="nil"/>
              <w:left w:val="nil"/>
              <w:bottom w:val="nil"/>
              <w:right w:val="nil"/>
            </w:tcBorders>
            <w:vAlign w:val="center"/>
          </w:tcPr>
          <w:p w14:paraId="64B92E8D">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法定代表人：</w:t>
            </w:r>
          </w:p>
        </w:tc>
      </w:tr>
      <w:tr w14:paraId="4601BF1C">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6822DBA1">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或委托代理人：</w:t>
            </w:r>
          </w:p>
        </w:tc>
        <w:tc>
          <w:tcPr>
            <w:tcW w:w="4202" w:type="dxa"/>
            <w:tcBorders>
              <w:top w:val="nil"/>
              <w:left w:val="nil"/>
              <w:bottom w:val="nil"/>
              <w:right w:val="nil"/>
            </w:tcBorders>
            <w:vAlign w:val="center"/>
          </w:tcPr>
          <w:p w14:paraId="7D6FC59E">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或委托代理人：</w:t>
            </w:r>
          </w:p>
        </w:tc>
      </w:tr>
      <w:tr w14:paraId="76A8324D">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782CFC86">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tcBorders>
              <w:top w:val="nil"/>
              <w:left w:val="nil"/>
              <w:bottom w:val="nil"/>
              <w:right w:val="nil"/>
            </w:tcBorders>
            <w:vAlign w:val="center"/>
          </w:tcPr>
          <w:p w14:paraId="70E32B69">
            <w:pPr>
              <w:autoSpaceDE w:val="0"/>
              <w:autoSpaceDN w:val="0"/>
              <w:adjustRightInd w:val="0"/>
              <w:ind w:left="720" w:hanging="720" w:hangingChars="30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284502C5">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4759D262">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tcBorders>
              <w:top w:val="nil"/>
              <w:left w:val="nil"/>
              <w:bottom w:val="nil"/>
              <w:right w:val="nil"/>
            </w:tcBorders>
            <w:vAlign w:val="center"/>
          </w:tcPr>
          <w:p w14:paraId="6B2EDA9F">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0535E76D">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3484A85B">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tcBorders>
              <w:top w:val="nil"/>
              <w:left w:val="nil"/>
              <w:bottom w:val="nil"/>
              <w:right w:val="nil"/>
            </w:tcBorders>
            <w:vAlign w:val="center"/>
          </w:tcPr>
          <w:p w14:paraId="2EDA785C">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570A3736">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vAlign w:val="center"/>
          </w:tcPr>
          <w:p w14:paraId="69C816EC">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tcBorders>
              <w:top w:val="nil"/>
              <w:left w:val="nil"/>
              <w:bottom w:val="nil"/>
              <w:right w:val="nil"/>
            </w:tcBorders>
            <w:vAlign w:val="center"/>
          </w:tcPr>
          <w:p w14:paraId="7484F3FE">
            <w:pPr>
              <w:autoSpaceDE w:val="0"/>
              <w:autoSpaceDN w:val="0"/>
              <w:adjustRightInd w:val="0"/>
              <w:rPr>
                <w:rFonts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bl>
    <w:p w14:paraId="039C0403">
      <w:pPr>
        <w:pStyle w:val="2"/>
        <w:rPr>
          <w:rFonts w:ascii="仿宋_GB2312" w:hAnsi="仿宋_GB2312" w:eastAsia="仿宋_GB2312" w:cs="仿宋_GB2312"/>
          <w:sz w:val="28"/>
          <w:szCs w:val="28"/>
        </w:rPr>
      </w:pPr>
    </w:p>
    <w:p w14:paraId="6315BA5F">
      <w:pPr>
        <w:pStyle w:val="6"/>
        <w:rPr>
          <w:rFonts w:hint="default"/>
        </w:rPr>
      </w:pPr>
    </w:p>
    <w:p w14:paraId="05CF87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5482F6"/>
    <w:multiLevelType w:val="singleLevel"/>
    <w:tmpl w:val="605482F6"/>
    <w:lvl w:ilvl="0" w:tentative="0">
      <w:start w:val="3"/>
      <w:numFmt w:val="chineseCounting"/>
      <w:suff w:val="nothing"/>
      <w:lvlText w:val="（%1）"/>
      <w:lvlJc w:val="left"/>
      <w:pPr>
        <w:ind w:left="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113"/>
    <w:rsid w:val="00742113"/>
    <w:rsid w:val="00A526CD"/>
    <w:rsid w:val="00E64BB2"/>
    <w:rsid w:val="030F02FD"/>
    <w:rsid w:val="04FE60C2"/>
    <w:rsid w:val="07632E46"/>
    <w:rsid w:val="0D5E0CB2"/>
    <w:rsid w:val="20D661D8"/>
    <w:rsid w:val="36AB485E"/>
    <w:rsid w:val="3E3B74AF"/>
    <w:rsid w:val="46366AF5"/>
    <w:rsid w:val="53BE497F"/>
    <w:rsid w:val="546F1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Cs w:val="21"/>
      <w:lang w:eastAsia="en-US"/>
    </w:rPr>
  </w:style>
  <w:style w:type="character" w:customStyle="1" w:styleId="9">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5476</Words>
  <Characters>5571</Characters>
  <Lines>42</Lines>
  <Paragraphs>11</Paragraphs>
  <TotalTime>0</TotalTime>
  <ScaleCrop>false</ScaleCrop>
  <LinksUpToDate>false</LinksUpToDate>
  <CharactersWithSpaces>5714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QQQQ</cp:lastModifiedBy>
  <dcterms:modified xsi:type="dcterms:W3CDTF">2026-07-10T09:22:16Z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eyJoZGlkIjoiNmZlMDQwN2NiMDE0ZGM3OGQyMjI2MGI5NGMzYzk3YjEiLCJ1c2VySWQiOiIzODkzMjE1NzcifQ==</vt:lpwstr>
  </property>
  <property fmtid="{D5CDD505-2E9C-101B-9397-08002B2CF9AE}" pid="4" name="ICV">
    <vt:lpwstr>9B229BE863694081B687C666C95C97D4_12</vt:lpwstr>
  </property>
</Properties>
</file>