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版本号：DLZCCS2026-620260527001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急诊医学科提升改造项目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DLZCCS2026-6</w:t>
      </w:r>
      <w:r>
        <w:br/>
      </w:r>
      <w:r>
        <w:br/>
      </w:r>
      <w:r>
        <w:br/>
      </w:r>
    </w:p>
    <w:p>
      <w:pPr>
        <w:pStyle w:val="null3"/>
        <w:jc w:val="center"/>
        <w:outlineLvl w:val="2"/>
      </w:pPr>
      <w:r>
        <w:rPr>
          <w:rFonts w:ascii="仿宋_GB2312" w:hAnsi="仿宋_GB2312" w:cs="仿宋_GB2312" w:eastAsia="仿宋_GB2312"/>
          <w:sz w:val="28"/>
          <w:b/>
        </w:rPr>
        <w:t>大荔县医院</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大荔县医院</w:t>
      </w:r>
      <w:r>
        <w:rPr>
          <w:rFonts w:ascii="仿宋_GB2312" w:hAnsi="仿宋_GB2312" w:cs="仿宋_GB2312" w:eastAsia="仿宋_GB2312"/>
        </w:rPr>
        <w:t>委托，拟对</w:t>
      </w:r>
      <w:r>
        <w:rPr>
          <w:rFonts w:ascii="仿宋_GB2312" w:hAnsi="仿宋_GB2312" w:cs="仿宋_GB2312" w:eastAsia="仿宋_GB2312"/>
        </w:rPr>
        <w:t>急诊医学科提升改造项目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DLZCCS2026-6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急诊医学科提升改造项目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急诊医学科标准化提质改造工程，严格对标行业建设规范，针对科室原有空间狭小、布局混乱、医患流线交叉等问题实施升级改造。项目主要开展场地布局优化、诊疗区域规整升级等建设内容，完善急危重症救治专项功能单元，畅通急救绿色通道。通过本次改造，可有效补齐急诊医疗服务短板，规范诊疗流程，大幅提升区域创伤、心脑血管急症等危重症救治能力与突发公共卫生事件应急保障水平，优化就医环境，切实保障群众急诊就医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采购包1（大荔县医院急诊医学科提升改造项目）：属于专门面向中小企业采购。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1、主体资格：在中华人民共和国境内注册，具有独立承担民事责任能力的法人、其他组织或自然人，具备从事本采购项目的经营范围和履约能力，提供合法有效的企业营业执照、法人证书或登记证书。</w:t>
      </w:r>
    </w:p>
    <w:p>
      <w:pPr>
        <w:pStyle w:val="null3"/>
      </w:pPr>
      <w:r>
        <w:rPr>
          <w:rFonts w:ascii="仿宋_GB2312" w:hAnsi="仿宋_GB2312" w:cs="仿宋_GB2312" w:eastAsia="仿宋_GB2312"/>
        </w:rPr>
        <w:t>2、授权委托：提供法定代表人授权书（附法定代表人有效身份证复印件，法定代表人直接参加只需提供法定代表人有效身份证）及被授权人有效身份证原件。</w:t>
      </w:r>
    </w:p>
    <w:p>
      <w:pPr>
        <w:pStyle w:val="null3"/>
      </w:pPr>
      <w:r>
        <w:rPr>
          <w:rFonts w:ascii="仿宋_GB2312" w:hAnsi="仿宋_GB2312" w:cs="仿宋_GB2312" w:eastAsia="仿宋_GB2312"/>
        </w:rPr>
        <w:t>3、资质要求:：1、供应商须具备建筑工程施工总承包二级及以上资质；2、具备有效的安全生产许可证；</w:t>
      </w:r>
    </w:p>
    <w:p>
      <w:pPr>
        <w:pStyle w:val="null3"/>
      </w:pPr>
      <w:r>
        <w:rPr>
          <w:rFonts w:ascii="仿宋_GB2312" w:hAnsi="仿宋_GB2312" w:cs="仿宋_GB2312" w:eastAsia="仿宋_GB2312"/>
        </w:rPr>
        <w:t>4、注册证书（项目经理要求）：项目拟派项目经理具有建筑工程专业二级及以上注册建造师注册证书，具有有效安全生产考核合格证书（B 证），须在本单位注册，无不良信用记录（提供承诺书），未担任其他在建项目（提供无在建工程承诺书）。</w:t>
      </w:r>
    </w:p>
    <w:p>
      <w:pPr>
        <w:pStyle w:val="null3"/>
      </w:pPr>
      <w:r>
        <w:rPr>
          <w:rFonts w:ascii="仿宋_GB2312" w:hAnsi="仿宋_GB2312" w:cs="仿宋_GB2312" w:eastAsia="仿宋_GB2312"/>
        </w:rPr>
        <w:t>5、政策落实：本项目为专门面向中小企业项目，供应商应为中型、小型、微型企业或监狱企业或残疾人福利性单位。供应商为中小企业的，提供《中小企业声明函》，且中小企业的划分标准为建筑行业；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6、信用记录及声明：供应商不得为 “信用中国” 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p>
      <w:pPr>
        <w:pStyle w:val="null3"/>
      </w:pPr>
      <w:r>
        <w:rPr>
          <w:rFonts w:ascii="仿宋_GB2312" w:hAnsi="仿宋_GB2312" w:cs="仿宋_GB2312" w:eastAsia="仿宋_GB2312"/>
        </w:rPr>
        <w:t>7、控股管理关系：单位负责人为同一人或者存在直接控股、管理关系的供应商，不得参加同一合同下的政府采购活动。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19991311900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采购包1：2,633,100.00元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大荔县医院</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建筑装饰装修工程质量规范、医疗建筑建设标准及本项目合同、技术参数、交付要求执行。土建、防水、装修、细部工程质量合格，无开裂、空鼓、渗漏、变形等质量缺陷；所有材料环保达标、性能合规；项目整体功能满足急诊诊疗、抢救、日常消杀使用需求；资料齐全、观感优良、完全达到竣工验收交付条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地址：大荔县洛滨大道西段财政局（709室）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2,633,100.00</w:t>
      </w:r>
    </w:p>
    <w:p>
      <w:pPr>
        <w:pStyle w:val="null3"/>
      </w:pPr>
      <w:r>
        <w:rPr>
          <w:rFonts w:ascii="仿宋_GB2312" w:hAnsi="仿宋_GB2312" w:cs="仿宋_GB2312" w:eastAsia="仿宋_GB2312"/>
        </w:rPr>
        <w:t>采购包最高限价（元）: 2,633,100.00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急诊医学科提升改造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2,633,100.00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标的名称：急诊医学科提升改造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48"/>
                <w:b/>
              </w:rPr>
              <w:t>一、土建工程技术参数</w:t>
            </w:r>
          </w:p>
          <w:p>
            <w:pPr>
              <w:pStyle w:val="null3"/>
              <w:outlineLvl w:val="2"/>
            </w:pPr>
            <w:r>
              <w:rPr>
                <w:rFonts w:ascii="仿宋_GB2312" w:hAnsi="仿宋_GB2312" w:cs="仿宋_GB2312" w:eastAsia="仿宋_GB2312"/>
                <w:sz w:val="28"/>
                <w:b/>
              </w:rPr>
              <w:t>（一）基层结构工程</w:t>
            </w:r>
          </w:p>
          <w:p>
            <w:pPr>
              <w:pStyle w:val="null3"/>
            </w:pPr>
            <w:r>
              <w:rPr>
                <w:rFonts w:ascii="仿宋_GB2312" w:hAnsi="仿宋_GB2312" w:cs="仿宋_GB2312" w:eastAsia="仿宋_GB2312"/>
              </w:rPr>
              <w:t>基层坚实平整、无空鼓开裂、无起砂粉化。墙体、地面平整度≤3mm/2m，垂直度≤4mm/2m。混凝土基层强度≥C25，水泥砂浆配比1:3，养护不少于7天。诊疗、抢救区域墙体砂浆强度≥M5，墙面含水率控制在8%–10%，保障饰面稳固不开裂。</w:t>
            </w:r>
          </w:p>
          <w:p>
            <w:pPr>
              <w:pStyle w:val="null3"/>
              <w:outlineLvl w:val="2"/>
            </w:pPr>
            <w:r>
              <w:rPr>
                <w:rFonts w:ascii="仿宋_GB2312" w:hAnsi="仿宋_GB2312" w:cs="仿宋_GB2312" w:eastAsia="仿宋_GB2312"/>
                <w:sz w:val="28"/>
                <w:b/>
              </w:rPr>
              <w:t>（二）防水防渗工程</w:t>
            </w:r>
          </w:p>
          <w:p>
            <w:pPr>
              <w:pStyle w:val="null3"/>
            </w:pPr>
            <w:r>
              <w:rPr>
                <w:rFonts w:ascii="仿宋_GB2312" w:hAnsi="仿宋_GB2312" w:cs="仿宋_GB2312" w:eastAsia="仿宋_GB2312"/>
              </w:rPr>
              <w:t>卫生间、污物间、清洗区全域防水，墙面防水高度≥1.8m，地面上翻300mm。采用医用环保防水涂料，涂刷不少于3遍，涂膜厚度≥1.5mm。阴阳角、管根做R50圆弧加强，施工完成后进行48小时闭水试验，无渗漏、无积水，满足高频消杀防渗需求。</w:t>
            </w:r>
          </w:p>
          <w:p>
            <w:pPr>
              <w:pStyle w:val="null3"/>
              <w:outlineLvl w:val="2"/>
            </w:pPr>
            <w:r>
              <w:rPr>
                <w:rFonts w:ascii="仿宋_GB2312" w:hAnsi="仿宋_GB2312" w:cs="仿宋_GB2312" w:eastAsia="仿宋_GB2312"/>
                <w:sz w:val="28"/>
                <w:b/>
              </w:rPr>
              <w:t>（三）门窗预留工程</w:t>
            </w:r>
          </w:p>
          <w:p>
            <w:pPr>
              <w:pStyle w:val="null3"/>
            </w:pPr>
            <w:r>
              <w:rPr>
                <w:rFonts w:ascii="仿宋_GB2312" w:hAnsi="仿宋_GB2312" w:cs="仿宋_GB2312" w:eastAsia="仿宋_GB2312"/>
              </w:rPr>
              <w:t>门洞预留位置精准、洞口方正，标高偏差≤5mm。急救通道净宽≥1.4m，满足担架及设备通行，严格实现洁污通道分离。保证门窗安装牢固、密封严密。</w:t>
            </w:r>
          </w:p>
          <w:p>
            <w:pPr>
              <w:pStyle w:val="null3"/>
              <w:outlineLvl w:val="2"/>
            </w:pPr>
            <w:r>
              <w:rPr>
                <w:rFonts w:ascii="仿宋_GB2312" w:hAnsi="仿宋_GB2312" w:cs="仿宋_GB2312" w:eastAsia="仿宋_GB2312"/>
                <w:sz w:val="28"/>
                <w:b/>
              </w:rPr>
              <w:t>（四）地面找平工程</w:t>
            </w:r>
          </w:p>
          <w:p>
            <w:pPr>
              <w:pStyle w:val="null3"/>
            </w:pPr>
            <w:r>
              <w:rPr>
                <w:rFonts w:ascii="仿宋_GB2312" w:hAnsi="仿宋_GB2312" w:cs="仿宋_GB2312" w:eastAsia="仿宋_GB2312"/>
              </w:rPr>
              <w:t>地面采用自流平水泥砂浆找平，厚度≥20mm，平整度≤2mm/2m，表面密实无缺陷。涉水区域排水坡度控制在1%–2%，排水通畅无积水，符合医疗清洁消杀标准。</w:t>
            </w:r>
          </w:p>
          <w:p>
            <w:pPr>
              <w:pStyle w:val="null3"/>
              <w:outlineLvl w:val="1"/>
            </w:pPr>
            <w:r>
              <w:rPr>
                <w:rFonts w:ascii="仿宋_GB2312" w:hAnsi="仿宋_GB2312" w:cs="仿宋_GB2312" w:eastAsia="仿宋_GB2312"/>
                <w:sz w:val="36"/>
                <w:b/>
              </w:rPr>
              <w:t>二、室内装修工程技术参数</w:t>
            </w:r>
          </w:p>
          <w:p>
            <w:pPr>
              <w:pStyle w:val="null3"/>
              <w:outlineLvl w:val="2"/>
            </w:pPr>
            <w:r>
              <w:rPr>
                <w:rFonts w:ascii="仿宋_GB2312" w:hAnsi="仿宋_GB2312" w:cs="仿宋_GB2312" w:eastAsia="仿宋_GB2312"/>
                <w:sz w:val="28"/>
                <w:b/>
              </w:rPr>
              <w:t>（一）地面工程</w:t>
            </w:r>
          </w:p>
          <w:p>
            <w:pPr>
              <w:pStyle w:val="null3"/>
            </w:pPr>
            <w:r>
              <w:rPr>
                <w:rFonts w:ascii="仿宋_GB2312" w:hAnsi="仿宋_GB2312" w:cs="仿宋_GB2312" w:eastAsia="仿宋_GB2312"/>
              </w:rPr>
              <w:t>采用2.0mm及以上医用同质透心PVC地板，防火B1级、防滑、防静电、抗菌耐腐，适配高频消毒。地板热熔焊接无缝施工，粘贴牢固无空鼓翘边，整体平整、无卫生死角。</w:t>
            </w:r>
          </w:p>
          <w:p>
            <w:pPr>
              <w:pStyle w:val="null3"/>
              <w:outlineLvl w:val="2"/>
            </w:pPr>
            <w:r>
              <w:rPr>
                <w:rFonts w:ascii="仿宋_GB2312" w:hAnsi="仿宋_GB2312" w:cs="仿宋_GB2312" w:eastAsia="仿宋_GB2312"/>
                <w:sz w:val="28"/>
                <w:b/>
              </w:rPr>
              <w:t>（二）墙面工程</w:t>
            </w:r>
          </w:p>
          <w:p>
            <w:pPr>
              <w:pStyle w:val="null3"/>
            </w:pPr>
            <w:r>
              <w:rPr>
                <w:rFonts w:ascii="仿宋_GB2312" w:hAnsi="仿宋_GB2312" w:cs="仿宋_GB2312" w:eastAsia="仿宋_GB2312"/>
              </w:rPr>
              <w:t>诊疗、抢救区域采用≥8mm医用抗菌洁净墙板，防火B1级，抗菌率≥99%，耐消毒液擦洗。墙板拼接严密，阴阳角圆弧收口、无积尘死角，墙面平整垂直。通道设置1.2m高铝合金防撞护角，耐磨防撞击。</w:t>
            </w:r>
          </w:p>
          <w:p>
            <w:pPr>
              <w:pStyle w:val="null3"/>
              <w:outlineLvl w:val="2"/>
            </w:pPr>
            <w:r>
              <w:rPr>
                <w:rFonts w:ascii="仿宋_GB2312" w:hAnsi="仿宋_GB2312" w:cs="仿宋_GB2312" w:eastAsia="仿宋_GB2312"/>
                <w:sz w:val="28"/>
                <w:b/>
              </w:rPr>
              <w:t>（三）吊顶工程</w:t>
            </w:r>
          </w:p>
          <w:p>
            <w:pPr>
              <w:pStyle w:val="null3"/>
            </w:pPr>
            <w:r>
              <w:rPr>
                <w:rFonts w:ascii="仿宋_GB2312" w:hAnsi="仿宋_GB2312" w:cs="仿宋_GB2312" w:eastAsia="仿宋_GB2312"/>
              </w:rPr>
              <w:t>采用硅酸钙板吊顶，A级防火、防潮防霉、吸音降噪。吊顶平整无变形下垂，接缝细密规整，设备开孔贴合严密、防尘密闭，预留合理检修口，适配医疗科室使用环境。</w:t>
            </w:r>
          </w:p>
          <w:p>
            <w:pPr>
              <w:pStyle w:val="null3"/>
              <w:outlineLvl w:val="2"/>
            </w:pPr>
            <w:r>
              <w:rPr>
                <w:rFonts w:ascii="仿宋_GB2312" w:hAnsi="仿宋_GB2312" w:cs="仿宋_GB2312" w:eastAsia="仿宋_GB2312"/>
                <w:sz w:val="28"/>
                <w:b/>
              </w:rPr>
              <w:t>（四）门窗工程</w:t>
            </w:r>
          </w:p>
          <w:p>
            <w:pPr>
              <w:pStyle w:val="null3"/>
            </w:pPr>
            <w:r>
              <w:rPr>
                <w:rFonts w:ascii="仿宋_GB2312" w:hAnsi="仿宋_GB2312" w:cs="仿宋_GB2312" w:eastAsia="仿宋_GB2312"/>
              </w:rPr>
              <w:t>采用40mm厚钢制洁净医用门，隔音、防火、抗菌耐擦洗，配备密封胶条，隔音量≥30dB。抢救室设钢化玻璃观察窗，门窗启闭顺畅、密封严实，有效防尘防漏风。</w:t>
            </w:r>
          </w:p>
          <w:p>
            <w:pPr>
              <w:pStyle w:val="null3"/>
              <w:outlineLvl w:val="2"/>
            </w:pPr>
            <w:r>
              <w:rPr>
                <w:rFonts w:ascii="仿宋_GB2312" w:hAnsi="仿宋_GB2312" w:cs="仿宋_GB2312" w:eastAsia="仿宋_GB2312"/>
                <w:sz w:val="28"/>
                <w:b/>
              </w:rPr>
              <w:t>（五）细部工程</w:t>
            </w:r>
          </w:p>
          <w:p>
            <w:pPr>
              <w:pStyle w:val="null3"/>
            </w:pPr>
            <w:r>
              <w:rPr>
                <w:rFonts w:ascii="仿宋_GB2312" w:hAnsi="仿宋_GB2312" w:cs="仿宋_GB2312" w:eastAsia="仿宋_GB2312"/>
              </w:rPr>
              <w:t>设置100mm高同材质圆弧PVC踢脚线，墙、地、柱角全部圆弧过渡，杜绝积尘死角。开关插座内嵌安装，所有材料均为医用环保材质，完工后空气质量达标，可直接投入临床使用。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按照国家相关标准、规范执行。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法定代表人资格证明书.docx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 ①提供2025年度完整审计报告，成立时间至提交磋商响应文件截止时间不足1年的提供磋商前一个月内基本存款账户开户银行出具的资信证明。②提供已缴纳的2025年12月以来至少1个月的纳税证明或完税证明（任意税种），依法免税的供应商应提供相关证明材料。③提供2025年12月以来至少1个月的社会保障资金缴存单据或社保机构开具的社会保险参保缴费情况证明，依法不需要缴纳社会保障资金的供应商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法定代表人资格证明书.docx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在中华人民共和国境内注册，具有独立承担民事责任能力的法人、其他组织或自然人，具备从事本采购项目的经营范围和履约能力，提供合法有效的企业营业执照、法人证书或登记证书。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提供法定代表人授权书（附法定代表人有效身份证复印件，法定代表人直接参加只需提供法定代表人有效身份证）及被授权人有效身份证原件。</w:t>
            </w:r>
          </w:p>
        </w:tc>
        <w:tc>
          <w:tcPr>
            <w:tcW w:type="dxa" w:w="1661"/>
          </w:tcPr>
          <w:p>
            <w:pPr>
              <w:pStyle w:val="null3"/>
            </w:pPr>
            <w:r>
              <w:rPr>
                <w:rFonts w:ascii="仿宋_GB2312" w:hAnsi="仿宋_GB2312" w:cs="仿宋_GB2312" w:eastAsia="仿宋_GB2312"/>
              </w:rPr>
              <w:t>法定代表人资格证明书.docx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1、供应商须具备建筑工程施工总承包二级及以上资质；2、具备有效的安全生产许可证；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注册证书（项目经理要求）</w:t>
            </w:r>
          </w:p>
        </w:tc>
        <w:tc>
          <w:tcPr>
            <w:tcW w:type="dxa" w:w="3322"/>
          </w:tcPr>
          <w:p>
            <w:pPr>
              <w:pStyle w:val="null3"/>
            </w:pPr>
            <w:r>
              <w:rPr>
                <w:rFonts w:ascii="仿宋_GB2312" w:hAnsi="仿宋_GB2312" w:cs="仿宋_GB2312" w:eastAsia="仿宋_GB2312"/>
              </w:rPr>
              <w:t>项目拟派项目经理具有建筑工程专业二级及以上注册建造师注册证书，具有有效安全生产考核合格证书（B 证），须在本单位注册，无不良信用记录（提供承诺书），未担任其他在建项目（提供无在建工程承诺书）。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政策落实</w:t>
            </w:r>
          </w:p>
        </w:tc>
        <w:tc>
          <w:tcPr>
            <w:tcW w:type="dxa" w:w="3322"/>
          </w:tcPr>
          <w:p>
            <w:pPr>
              <w:pStyle w:val="null3"/>
            </w:pPr>
            <w:r>
              <w:rPr>
                <w:rFonts w:ascii="仿宋_GB2312" w:hAnsi="仿宋_GB2312" w:cs="仿宋_GB2312" w:eastAsia="仿宋_GB2312"/>
              </w:rPr>
              <w:t>本项目为专门面向中小企业项目，供应商应为中型、小型、微型企业或监狱企业或残疾人福利性单位。供应商为中小企业的，提供《中小企业声明函》，且中小企业的划分标准为建筑行业；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供应商不得为 “信用中国” 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单位工程清单费用汇总表.xlsx 分部分项工程量清单计价表.xlsx 措施项目清单计价表.xlsx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售后服务方案.docx 已标价工程量清单 质量认证证书质检报告质保措施等.docx 中小企业声明函 法定代表人资格证明书.docx 技术服务合同条款及其他商务要求应答表 供应商应提交的相关资格证明材料 单位工程清单费用汇总表.xlsx 分部分项工程量清单计价表.xlsx 强制优先采购产品承诺函 施工组织设计方案.docx 响应文件封面 项目管理机构组成表 残疾人福利性单位声明函 拒绝政府采购领域商业贿赂承诺书.docx 报价函 标的清单 供应商类似项目业绩一览表 响应函 主要人员简历表 措施项目清单计价表.xlsx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（1）只能有一个有效报价，不接受选择性报价； （2）第一次磋商报价表填写符合要求； （3）计量单位、报价货币均符合磋商文件要求； （4）第一次磋商报价未超出采购预算或磋商文件规定的最高限价； （5）第一次磋商报价没有与市场价偏差较大、低于成本、可能影响货物质量或不能诚信履约。</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响应文件封面 响应函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响应文件封面 响应函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响应文件封面 响应函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投标人针对本项目编制完善的施工部署，内容包含:1施工目标:包含成本目标、工期目标及质量目标2施工准备:包含技术准备、材料准备、机械准备及机具准备3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1施工目标:每完全满足一个评审标准得1分，满分3分;2施工准备:每完全满足一个评审标准得1分，满分3分;3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投标人针对本项目编制完善的进度计划,内容包含:1项目总进度:包含施工及采购分项节点控制及进度计划安排2进度保障措施。一、评审标准1、完整性:方案必须全面,对评审内容中的各项要求有详细描述;2、可实施性:切合本项目实际情况，提出步骤清晰、合理的方案;3、针对性:方案能够紧扣项目实际情况，内容科学合理。三、赋分标准(满分6分)1项目总进度:每完全满足一个评审标准得1分，满分3分;2进度保障措施:每完全满足一个评审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投标人针对本项目编制完善的施工方案，内容包含:1、工程重难点及解决措施2、分部分项工程施工方法3、施工质量通病防治措施。二、评审标准1、完整性:方案必须全面,对评审内容中的各项要求有详细描述; 2、可实施性:切合本项目实际情况,提出步骤清晰、合理的方案;3、针对性:方案能够紧扣项目实际情况,内容科学合理。三、赋分标准(满分9分)1重难点及解决措施:每完全满足个评审标准得1分，满分3分;2施工方法:每完全满足一个评审标准得1分，满分3分;3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1、质量目标管理体系2、施工质量检验制度3、技术组织措施4、材料储存方案。二、评审标准1、完整性:方案必须全面,对评审内容中的各项要求有详细描述;2、可实施性:切合本项目实际情况，提出步骤清晰、合理的方案;3、针对性:方案能够紧扣项目实际情况，内容科学合理。三、赋分标准(满分12分)1、质量目标管理体系:每完全满足一个评审标准得1分，满分3分：2、施工质量检验制度:每完全满足一个评审标准得1分，满分3分; 3、技术组织措施:每完全满足一个评审标准得1分，满分3分;4、材料储存方案:每完全满足一个评审标准得1分，满分3分。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1、文明施工管理目标及技术措施2、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1、文明施工管理目标及技术措施:每完全满足一个评审标准得1分，满分3分;2、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评审内容供应商针对本项目编制完整的安全施工措施,内容包含:1、安全管理体系2、安全责任归属划分3、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4.5) 1、安全管理体系；每完全满足一个评审标准得0.5，满分1.5分;2、安全责任归属划分:每完全满足一个评审标准得0.5分，满分1.5分;3、安全教育及防护:每完全满足一个评审标准得0.5分，满分1.5分: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1、拟投入的主要施工机械设备计划2、主要材料进场计划3、劳动力投入计划。二、评审标准1、完整性:方案须全面，对评审内容中的各项要求有详细描述及说明;2、可实施性:切合本项目实际情况，实施步骤清晰、合理;3、针对性:方案能够紧扣项目实际情况，内容科学合理。三、赋分标准(满分4.5分)1、拟投入的主要施工机械设备计划:每完全满足一个评审标准得0.5分，满分1.5分;2、主要材料进场计划:每完全满足-个评审标准得0.5分，满分1.5分;3劳、动力投入计划:每完全满足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1、新材料的应用情况2、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1、新材料的应用情况:每完全满足一个评审标准得1分，满分3分:2、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2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工程项目业绩,以合同签订时间为准，每提供一份业绩得1分，满分3分。注:(1)以合同或者中标通知书为准，复印件清楚有效加盖公章，否则不作为评审依据。(2)同一工程有多个标段符合要求的，只按一个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措施项目清单计价表.xlsx</w:t>
            </w:r>
          </w:p>
          <w:p>
            <w:pPr>
              <w:pStyle w:val="null3"/>
            </w:pPr>
            <w:r>
              <w:rPr>
                <w:rFonts w:ascii="仿宋_GB2312" w:hAnsi="仿宋_GB2312" w:cs="仿宋_GB2312" w:eastAsia="仿宋_GB2312"/>
              </w:rPr>
              <w:t>单位工程清单费用汇总表.xlsx</w:t>
            </w:r>
          </w:p>
          <w:p>
            <w:pPr>
              <w:pStyle w:val="null3"/>
            </w:pPr>
            <w:r>
              <w:rPr>
                <w:rFonts w:ascii="仿宋_GB2312" w:hAnsi="仿宋_GB2312" w:cs="仿宋_GB2312" w:eastAsia="仿宋_GB2312"/>
              </w:rPr>
              <w:t>分部分项工程量清单计价表.xlsx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各供应商的在多次报价中应逐次降价，二次报价超过首次报价的，为无效报价，取消其磋商资格。3、满足磋商文件实质性要求且最终报价最低的供应商的价格为磋商基准价，其价格分为满分30分。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措施项目清单计价表.xlsx</w:t>
            </w:r>
          </w:p>
          <w:p>
            <w:pPr>
              <w:pStyle w:val="null3"/>
            </w:pPr>
            <w:r>
              <w:rPr>
                <w:rFonts w:ascii="仿宋_GB2312" w:hAnsi="仿宋_GB2312" w:cs="仿宋_GB2312" w:eastAsia="仿宋_GB2312"/>
              </w:rPr>
              <w:t>单位工程清单费用汇总表.xlsx</w:t>
            </w:r>
          </w:p>
          <w:p>
            <w:pPr>
              <w:pStyle w:val="null3"/>
            </w:pPr>
            <w:r>
              <w:rPr>
                <w:rFonts w:ascii="仿宋_GB2312" w:hAnsi="仿宋_GB2312" w:cs="仿宋_GB2312" w:eastAsia="仿宋_GB2312"/>
              </w:rPr>
              <w:t>分部分项工程量清单计价表.xlsx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详见附件：措施项目清单计价表.xlsx</w:t>
      </w:r>
    </w:p>
    <w:p>
      <w:pPr>
        <w:pStyle w:val="null3"/>
        <w:ind w:firstLine="960"/>
      </w:pPr>
      <w:r>
        <w:rPr>
          <w:rFonts w:ascii="仿宋_GB2312" w:hAnsi="仿宋_GB2312" w:cs="仿宋_GB2312" w:eastAsia="仿宋_GB2312"/>
        </w:rPr>
        <w:t>详见附件：单位工程清单费用汇总表.xlsx</w:t>
      </w:r>
    </w:p>
    <w:p>
      <w:pPr>
        <w:pStyle w:val="null3"/>
        <w:ind w:firstLine="960"/>
      </w:pPr>
      <w:r>
        <w:rPr>
          <w:rFonts w:ascii="仿宋_GB2312" w:hAnsi="仿宋_GB2312" w:cs="仿宋_GB2312" w:eastAsia="仿宋_GB2312"/>
        </w:rPr>
        <w:t>详见附件：分部分项工程量清单计价表.xlsx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详见附件：质量认证证书质检报告质保措施等.docx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详见附件：施工组织设计方案.docx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