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72308A">
      <w:pPr>
        <w:widowControl/>
        <w:jc w:val="center"/>
        <w:rPr>
          <w:rFonts w:hint="eastAsia" w:ascii="宋体" w:hAnsi="宋体" w:cs="宋体"/>
          <w:b/>
          <w:sz w:val="32"/>
          <w:szCs w:val="32"/>
          <w:lang w:eastAsia="zh-CN"/>
        </w:rPr>
      </w:pPr>
      <w:r>
        <w:rPr>
          <w:rFonts w:hint="eastAsia" w:ascii="宋体" w:hAnsi="宋体" w:cs="宋体"/>
          <w:b/>
          <w:sz w:val="32"/>
          <w:szCs w:val="32"/>
          <w:lang w:eastAsia="zh-CN"/>
        </w:rPr>
        <w:t>阎良区聚宝小学运动场改造项目</w:t>
      </w:r>
    </w:p>
    <w:p w14:paraId="219E0C5C">
      <w:pPr>
        <w:widowControl/>
        <w:jc w:val="center"/>
        <w:rPr>
          <w:rFonts w:hint="eastAsia" w:ascii="宋体" w:hAnsi="宋体" w:eastAsia="宋体" w:cs="宋体"/>
          <w:b/>
          <w:sz w:val="32"/>
          <w:szCs w:val="32"/>
        </w:rPr>
      </w:pPr>
      <w:r>
        <w:rPr>
          <w:rFonts w:hint="eastAsia" w:ascii="宋体" w:hAnsi="宋体" w:eastAsia="宋体" w:cs="宋体"/>
          <w:b/>
          <w:sz w:val="32"/>
          <w:szCs w:val="32"/>
        </w:rPr>
        <w:t>政府采购需求书（工程类）</w:t>
      </w:r>
    </w:p>
    <w:tbl>
      <w:tblPr>
        <w:tblStyle w:val="9"/>
        <w:tblW w:w="10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8364"/>
      </w:tblGrid>
      <w:tr w14:paraId="129F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D6E769A">
            <w:pPr>
              <w:snapToGrid w:val="0"/>
              <w:jc w:val="center"/>
              <w:rPr>
                <w:rFonts w:hint="eastAsia" w:ascii="宋体" w:hAnsi="宋体" w:eastAsia="宋体" w:cs="宋体"/>
                <w:b/>
                <w:sz w:val="24"/>
              </w:rPr>
            </w:pPr>
            <w:r>
              <w:rPr>
                <w:rFonts w:hint="eastAsia" w:ascii="宋体" w:hAnsi="宋体" w:eastAsia="宋体" w:cs="宋体"/>
                <w:b/>
                <w:sz w:val="28"/>
                <w:szCs w:val="28"/>
                <w:lang w:val="zh-CN"/>
              </w:rPr>
              <w:t>序号</w:t>
            </w:r>
          </w:p>
        </w:tc>
        <w:tc>
          <w:tcPr>
            <w:tcW w:w="1556" w:type="dxa"/>
            <w:vAlign w:val="center"/>
          </w:tcPr>
          <w:p w14:paraId="240B7BBC">
            <w:pPr>
              <w:pStyle w:val="32"/>
              <w:ind w:left="38"/>
              <w:jc w:val="center"/>
              <w:rPr>
                <w:rFonts w:hint="eastAsia" w:ascii="宋体" w:hAnsi="宋体" w:eastAsia="宋体" w:cs="宋体"/>
                <w:b/>
                <w:kern w:val="2"/>
                <w:lang w:val="zh-CN"/>
              </w:rPr>
            </w:pPr>
            <w:r>
              <w:rPr>
                <w:rFonts w:hint="eastAsia" w:ascii="宋体" w:hAnsi="宋体" w:eastAsia="宋体" w:cs="宋体"/>
                <w:b/>
                <w:kern w:val="2"/>
                <w:sz w:val="28"/>
                <w:szCs w:val="28"/>
                <w:lang w:val="zh-CN"/>
              </w:rPr>
              <w:t>关键事项</w:t>
            </w:r>
          </w:p>
        </w:tc>
        <w:tc>
          <w:tcPr>
            <w:tcW w:w="8364" w:type="dxa"/>
            <w:vAlign w:val="center"/>
          </w:tcPr>
          <w:p w14:paraId="4DD502AA">
            <w:pPr>
              <w:pStyle w:val="32"/>
              <w:jc w:val="center"/>
              <w:rPr>
                <w:rFonts w:hint="eastAsia" w:ascii="宋体" w:hAnsi="宋体" w:eastAsia="宋体" w:cs="宋体"/>
                <w:b/>
                <w:kern w:val="2"/>
                <w:lang w:val="zh-CN"/>
              </w:rPr>
            </w:pPr>
            <w:r>
              <w:rPr>
                <w:rFonts w:hint="eastAsia" w:ascii="宋体" w:hAnsi="宋体" w:eastAsia="宋体" w:cs="宋体"/>
                <w:b/>
                <w:kern w:val="2"/>
                <w:sz w:val="28"/>
                <w:szCs w:val="28"/>
                <w:lang w:val="zh-CN"/>
              </w:rPr>
              <w:t>说明和要求</w:t>
            </w:r>
          </w:p>
        </w:tc>
      </w:tr>
      <w:tr w14:paraId="5D9B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E2D12FF">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1</w:t>
            </w:r>
          </w:p>
        </w:tc>
        <w:tc>
          <w:tcPr>
            <w:tcW w:w="1556" w:type="dxa"/>
            <w:vAlign w:val="center"/>
          </w:tcPr>
          <w:p w14:paraId="2988AEBA">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采购预算</w:t>
            </w:r>
          </w:p>
        </w:tc>
        <w:tc>
          <w:tcPr>
            <w:tcW w:w="8364" w:type="dxa"/>
            <w:vAlign w:val="center"/>
          </w:tcPr>
          <w:p w14:paraId="76AF4597">
            <w:pPr>
              <w:pStyle w:val="32"/>
              <w:jc w:val="both"/>
              <w:rPr>
                <w:rFonts w:hint="eastAsia" w:ascii="宋体" w:hAnsi="宋体" w:eastAsia="宋体" w:cs="宋体"/>
                <w:b/>
                <w:kern w:val="2"/>
                <w:lang w:val="zh-CN"/>
              </w:rPr>
            </w:pPr>
            <w:r>
              <w:rPr>
                <w:rFonts w:hint="eastAsia" w:ascii="宋体" w:hAnsi="宋体" w:eastAsia="宋体" w:cs="宋体"/>
                <w:b/>
                <w:kern w:val="2"/>
                <w:lang w:val="zh-CN"/>
              </w:rPr>
              <w:t>人民币</w:t>
            </w:r>
            <w:r>
              <w:rPr>
                <w:rFonts w:hint="eastAsia" w:ascii="宋体" w:hAnsi="宋体" w:eastAsia="宋体" w:cs="宋体"/>
                <w:b/>
                <w:kern w:val="2"/>
                <w:u w:val="single"/>
                <w:lang w:val="en-US" w:eastAsia="zh-CN"/>
              </w:rPr>
              <w:t xml:space="preserve"> 1440240.07 </w:t>
            </w:r>
            <w:r>
              <w:rPr>
                <w:rFonts w:hint="eastAsia" w:ascii="宋体" w:hAnsi="宋体" w:eastAsia="宋体" w:cs="宋体"/>
                <w:b/>
                <w:kern w:val="2"/>
                <w:lang w:val="zh-CN"/>
              </w:rPr>
              <w:t>元</w:t>
            </w:r>
          </w:p>
          <w:p w14:paraId="63DD58B5">
            <w:pPr>
              <w:pStyle w:val="32"/>
              <w:jc w:val="both"/>
              <w:rPr>
                <w:rFonts w:hint="eastAsia" w:ascii="宋体" w:hAnsi="宋体" w:eastAsia="宋体" w:cs="宋体"/>
                <w:b/>
                <w:kern w:val="2"/>
                <w:lang w:val="zh-CN"/>
              </w:rPr>
            </w:pPr>
            <w:r>
              <w:rPr>
                <w:rFonts w:hint="eastAsia" w:ascii="宋体" w:hAnsi="宋体" w:eastAsia="宋体" w:cs="宋体"/>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73618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F1CEDFA">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2</w:t>
            </w:r>
          </w:p>
        </w:tc>
        <w:tc>
          <w:tcPr>
            <w:tcW w:w="1556" w:type="dxa"/>
            <w:vAlign w:val="center"/>
          </w:tcPr>
          <w:p w14:paraId="2BADF4CE">
            <w:pPr>
              <w:pStyle w:val="32"/>
              <w:ind w:left="38"/>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最高限价</w:t>
            </w:r>
          </w:p>
        </w:tc>
        <w:tc>
          <w:tcPr>
            <w:tcW w:w="8364" w:type="dxa"/>
            <w:vAlign w:val="center"/>
          </w:tcPr>
          <w:p w14:paraId="58CA39ED">
            <w:pPr>
              <w:pStyle w:val="32"/>
              <w:jc w:val="both"/>
              <w:rPr>
                <w:rFonts w:hint="eastAsia" w:ascii="宋体" w:hAnsi="宋体" w:eastAsia="宋体" w:cs="宋体"/>
                <w:b/>
                <w:color w:val="auto"/>
                <w:kern w:val="2"/>
                <w:lang w:val="zh-CN"/>
              </w:rPr>
            </w:pPr>
            <w:r>
              <w:rPr>
                <w:rFonts w:hint="eastAsia" w:ascii="宋体" w:hAnsi="宋体" w:eastAsia="宋体" w:cs="宋体"/>
                <w:b/>
                <w:color w:val="auto"/>
                <w:kern w:val="2"/>
                <w:lang w:val="zh-CN"/>
              </w:rPr>
              <w:t>人民币</w:t>
            </w:r>
            <w:r>
              <w:rPr>
                <w:rFonts w:hint="eastAsia" w:ascii="宋体" w:hAnsi="宋体" w:eastAsia="宋体" w:cs="宋体"/>
                <w:b/>
                <w:color w:val="auto"/>
                <w:kern w:val="2"/>
                <w:u w:val="single"/>
                <w:lang w:val="en-US" w:eastAsia="zh-CN"/>
              </w:rPr>
              <w:t xml:space="preserve"> 1422395.86 </w:t>
            </w:r>
            <w:r>
              <w:rPr>
                <w:rFonts w:hint="eastAsia" w:ascii="宋体" w:hAnsi="宋体" w:eastAsia="宋体" w:cs="宋体"/>
                <w:b/>
                <w:color w:val="auto"/>
                <w:kern w:val="2"/>
                <w:lang w:val="zh-CN"/>
              </w:rPr>
              <w:t>元</w:t>
            </w:r>
          </w:p>
          <w:p w14:paraId="0E78A7B5">
            <w:pPr>
              <w:pStyle w:val="32"/>
              <w:ind w:left="38"/>
              <w:jc w:val="both"/>
              <w:rPr>
                <w:rFonts w:hint="eastAsia" w:ascii="宋体" w:hAnsi="宋体" w:eastAsia="宋体" w:cs="宋体"/>
                <w:b/>
                <w:color w:val="auto"/>
                <w:kern w:val="2"/>
                <w:lang w:val="zh-CN"/>
              </w:rPr>
            </w:pPr>
            <w:r>
              <w:rPr>
                <w:rFonts w:hint="eastAsia" w:ascii="宋体" w:hAnsi="宋体" w:eastAsia="宋体" w:cs="宋体"/>
                <w:color w:val="auto"/>
                <w:kern w:val="2"/>
                <w:sz w:val="21"/>
                <w:szCs w:val="21"/>
                <w:lang w:val="zh-CN"/>
              </w:rPr>
              <w:t>供应商投标报价高于最高限价的则其投标文件将按无效投标文件处理。</w:t>
            </w:r>
          </w:p>
        </w:tc>
      </w:tr>
      <w:tr w14:paraId="2092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092CCBF">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3</w:t>
            </w:r>
          </w:p>
        </w:tc>
        <w:tc>
          <w:tcPr>
            <w:tcW w:w="1556" w:type="dxa"/>
            <w:vAlign w:val="center"/>
          </w:tcPr>
          <w:p w14:paraId="03E4732A">
            <w:pPr>
              <w:pStyle w:val="32"/>
              <w:ind w:left="38"/>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暂列金</w:t>
            </w:r>
          </w:p>
          <w:p w14:paraId="171E4E74">
            <w:pPr>
              <w:pStyle w:val="32"/>
              <w:ind w:left="38"/>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或暂估价</w:t>
            </w:r>
          </w:p>
        </w:tc>
        <w:tc>
          <w:tcPr>
            <w:tcW w:w="8364" w:type="dxa"/>
            <w:vAlign w:val="center"/>
          </w:tcPr>
          <w:p w14:paraId="6834EF0F">
            <w:pPr>
              <w:pStyle w:val="32"/>
              <w:jc w:val="both"/>
              <w:rPr>
                <w:rFonts w:hint="eastAsia" w:ascii="宋体" w:hAnsi="宋体" w:eastAsia="宋体" w:cs="宋体"/>
                <w:b/>
                <w:color w:val="auto"/>
                <w:kern w:val="2"/>
                <w:lang w:val="zh-CN"/>
              </w:rPr>
            </w:pPr>
            <w:r>
              <w:rPr>
                <w:rFonts w:hint="eastAsia" w:ascii="宋体" w:hAnsi="宋体" w:eastAsia="宋体" w:cs="宋体"/>
                <w:color w:val="auto"/>
                <w:kern w:val="2"/>
                <w:lang w:val="zh-CN"/>
              </w:rPr>
              <w:t>暂列金</w:t>
            </w:r>
            <w:r>
              <w:rPr>
                <w:rFonts w:hint="eastAsia" w:cs="宋体"/>
                <w:color w:val="auto"/>
                <w:kern w:val="2"/>
                <w:lang w:val="zh-CN"/>
              </w:rPr>
              <w:t>：</w:t>
            </w:r>
            <w:r>
              <w:rPr>
                <w:rFonts w:hint="eastAsia" w:ascii="宋体" w:hAnsi="宋体" w:eastAsia="宋体" w:cs="宋体"/>
                <w:b/>
                <w:color w:val="auto"/>
                <w:kern w:val="2"/>
                <w:lang w:val="zh-CN"/>
              </w:rPr>
              <w:t>人民币</w:t>
            </w:r>
            <w:r>
              <w:rPr>
                <w:rFonts w:hint="eastAsia" w:ascii="宋体" w:hAnsi="宋体" w:eastAsia="宋体" w:cs="宋体"/>
                <w:b/>
                <w:color w:val="auto"/>
                <w:kern w:val="2"/>
                <w:u w:val="single"/>
                <w:lang w:val="en-US" w:eastAsia="zh-CN"/>
              </w:rPr>
              <w:t xml:space="preserve"> 67306.13 </w:t>
            </w:r>
            <w:r>
              <w:rPr>
                <w:rFonts w:hint="eastAsia" w:ascii="宋体" w:hAnsi="宋体" w:eastAsia="宋体" w:cs="宋体"/>
                <w:b/>
                <w:color w:val="auto"/>
                <w:kern w:val="2"/>
                <w:lang w:val="zh-CN"/>
              </w:rPr>
              <w:t>元</w:t>
            </w:r>
          </w:p>
          <w:p w14:paraId="0BF8B3C5">
            <w:pPr>
              <w:keepNext w:val="0"/>
              <w:keepLines w:val="0"/>
              <w:widowControl/>
              <w:suppressLineNumbers w:val="0"/>
              <w:jc w:val="left"/>
              <w:rPr>
                <w:rFonts w:hint="eastAsia" w:ascii="宋体" w:hAnsi="宋体" w:eastAsia="宋体" w:cs="宋体"/>
                <w:b/>
                <w:color w:val="auto"/>
                <w:kern w:val="2"/>
                <w:lang w:val="en-US" w:eastAsia="zh-CN"/>
              </w:rPr>
            </w:pPr>
            <w:r>
              <w:rPr>
                <w:rFonts w:hint="eastAsia" w:ascii="宋体" w:hAnsi="宋体" w:eastAsia="宋体" w:cs="宋体"/>
                <w:color w:val="auto"/>
                <w:kern w:val="2"/>
                <w:sz w:val="24"/>
                <w:szCs w:val="24"/>
                <w:lang w:val="en-US" w:eastAsia="zh-CN" w:bidi="ar-SA"/>
              </w:rPr>
              <w:t>专业工程暂估价</w:t>
            </w:r>
            <w:r>
              <w:rPr>
                <w:rFonts w:hint="eastAsia" w:cs="宋体"/>
                <w:color w:val="auto"/>
                <w:kern w:val="2"/>
                <w:lang w:val="zh-CN"/>
              </w:rPr>
              <w:t>：</w:t>
            </w:r>
            <w:r>
              <w:rPr>
                <w:rFonts w:hint="eastAsia" w:ascii="宋体" w:hAnsi="宋体" w:eastAsia="宋体" w:cs="宋体"/>
                <w:b/>
                <w:color w:val="auto"/>
                <w:kern w:val="2"/>
                <w:sz w:val="24"/>
                <w:szCs w:val="24"/>
                <w:lang w:val="zh-CN" w:eastAsia="zh-CN" w:bidi="ar-SA"/>
              </w:rPr>
              <w:t>人民币</w:t>
            </w:r>
            <w:r>
              <w:rPr>
                <w:rFonts w:hint="eastAsia" w:ascii="宋体" w:hAnsi="宋体" w:eastAsia="宋体" w:cs="宋体"/>
                <w:b/>
                <w:color w:val="auto"/>
                <w:kern w:val="2"/>
                <w:sz w:val="24"/>
                <w:szCs w:val="24"/>
                <w:u w:val="single"/>
                <w:lang w:val="en-US" w:eastAsia="zh-CN" w:bidi="ar-SA"/>
              </w:rPr>
              <w:t xml:space="preserve"> </w:t>
            </w:r>
            <w:r>
              <w:rPr>
                <w:rFonts w:hint="eastAsia" w:ascii="宋体" w:hAnsi="宋体" w:cs="宋体"/>
                <w:b/>
                <w:color w:val="auto"/>
                <w:kern w:val="2"/>
                <w:sz w:val="24"/>
                <w:szCs w:val="24"/>
                <w:u w:val="single"/>
                <w:lang w:val="en-US" w:eastAsia="zh-CN" w:bidi="ar-SA"/>
              </w:rPr>
              <w:t>0</w:t>
            </w:r>
            <w:r>
              <w:rPr>
                <w:rFonts w:hint="eastAsia" w:ascii="宋体" w:hAnsi="宋体" w:eastAsia="宋体" w:cs="宋体"/>
                <w:b/>
                <w:color w:val="auto"/>
                <w:kern w:val="2"/>
                <w:sz w:val="24"/>
                <w:szCs w:val="24"/>
                <w:u w:val="single"/>
                <w:lang w:val="en-US" w:eastAsia="zh-CN" w:bidi="ar-SA"/>
              </w:rPr>
              <w:t xml:space="preserve"> </w:t>
            </w:r>
            <w:r>
              <w:rPr>
                <w:rFonts w:hint="eastAsia" w:ascii="宋体" w:hAnsi="宋体" w:eastAsia="宋体" w:cs="宋体"/>
                <w:b/>
                <w:color w:val="auto"/>
                <w:kern w:val="2"/>
                <w:sz w:val="24"/>
                <w:szCs w:val="24"/>
                <w:lang w:val="zh-CN" w:eastAsia="zh-CN" w:bidi="ar-SA"/>
              </w:rPr>
              <w:t>元</w:t>
            </w:r>
          </w:p>
        </w:tc>
      </w:tr>
      <w:tr w14:paraId="7E96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FC1165C">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4</w:t>
            </w:r>
          </w:p>
        </w:tc>
        <w:tc>
          <w:tcPr>
            <w:tcW w:w="1556" w:type="dxa"/>
            <w:vAlign w:val="center"/>
          </w:tcPr>
          <w:p w14:paraId="10959AF0">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图纸</w:t>
            </w:r>
          </w:p>
        </w:tc>
        <w:tc>
          <w:tcPr>
            <w:tcW w:w="8364" w:type="dxa"/>
            <w:vAlign w:val="center"/>
          </w:tcPr>
          <w:p w14:paraId="14DBB66E">
            <w:pPr>
              <w:pStyle w:val="32"/>
              <w:jc w:val="both"/>
              <w:rPr>
                <w:rFonts w:hint="eastAsia" w:ascii="宋体" w:hAnsi="宋体" w:eastAsia="宋体" w:cs="宋体"/>
                <w:b/>
                <w:kern w:val="2"/>
                <w:lang w:val="zh-CN"/>
              </w:rPr>
            </w:pPr>
            <w:r>
              <w:rPr>
                <w:rFonts w:hint="eastAsia" w:ascii="宋体" w:hAnsi="宋体" w:eastAsia="宋体" w:cs="宋体"/>
                <w:kern w:val="2"/>
                <w:lang w:val="zh-CN"/>
              </w:rPr>
              <w:t>●</w:t>
            </w:r>
            <w:r>
              <w:rPr>
                <w:rFonts w:hint="eastAsia" w:ascii="宋体" w:hAnsi="宋体" w:eastAsia="宋体" w:cs="宋体"/>
                <w:b/>
                <w:kern w:val="2"/>
                <w:lang w:val="zh-CN"/>
              </w:rPr>
              <w:t>有图纸，图纸与工程量清单不一致时以</w:t>
            </w:r>
            <w:r>
              <w:rPr>
                <w:rFonts w:hint="eastAsia" w:ascii="宋体" w:hAnsi="宋体" w:eastAsia="宋体" w:cs="宋体"/>
                <w:b/>
                <w:kern w:val="2"/>
                <w:u w:val="single"/>
                <w:lang w:val="en-US" w:eastAsia="zh-CN"/>
              </w:rPr>
              <w:t xml:space="preserve"> </w:t>
            </w:r>
            <w:r>
              <w:rPr>
                <w:rFonts w:hint="eastAsia" w:ascii="宋体" w:hAnsi="宋体" w:eastAsia="宋体" w:cs="宋体"/>
                <w:b/>
                <w:kern w:val="2"/>
                <w:u w:val="single"/>
                <w:lang w:val="zh-CN"/>
              </w:rPr>
              <w:t>工程量清单</w:t>
            </w:r>
            <w:r>
              <w:rPr>
                <w:rFonts w:hint="eastAsia" w:ascii="宋体" w:hAnsi="宋体" w:eastAsia="宋体" w:cs="宋体"/>
                <w:b/>
                <w:kern w:val="2"/>
                <w:u w:val="single"/>
                <w:lang w:val="en-US" w:eastAsia="zh-CN"/>
              </w:rPr>
              <w:t xml:space="preserve">  </w:t>
            </w:r>
            <w:r>
              <w:rPr>
                <w:rFonts w:hint="eastAsia" w:ascii="宋体" w:hAnsi="宋体" w:eastAsia="宋体" w:cs="宋体"/>
                <w:b/>
                <w:kern w:val="2"/>
                <w:lang w:val="zh-CN"/>
              </w:rPr>
              <w:t>为准。</w:t>
            </w:r>
          </w:p>
          <w:p w14:paraId="19F085EA">
            <w:pPr>
              <w:pStyle w:val="32"/>
              <w:jc w:val="both"/>
              <w:rPr>
                <w:rFonts w:hint="eastAsia" w:ascii="宋体" w:hAnsi="宋体" w:eastAsia="宋体" w:cs="宋体"/>
                <w:b/>
                <w:kern w:val="2"/>
                <w:lang w:val="zh-CN"/>
              </w:rPr>
            </w:pPr>
            <w:r>
              <w:rPr>
                <w:rFonts w:hint="eastAsia" w:ascii="宋体" w:hAnsi="宋体" w:eastAsia="宋体" w:cs="宋体"/>
                <w:b/>
                <w:kern w:val="2"/>
                <w:lang w:val="zh-CN"/>
              </w:rPr>
              <w:t>○无图纸</w:t>
            </w:r>
          </w:p>
        </w:tc>
      </w:tr>
      <w:tr w14:paraId="06FF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196E450">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5</w:t>
            </w:r>
          </w:p>
        </w:tc>
        <w:tc>
          <w:tcPr>
            <w:tcW w:w="1556" w:type="dxa"/>
            <w:vMerge w:val="restart"/>
            <w:vAlign w:val="center"/>
          </w:tcPr>
          <w:p w14:paraId="69D09021">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项目性质</w:t>
            </w:r>
          </w:p>
        </w:tc>
        <w:tc>
          <w:tcPr>
            <w:tcW w:w="8364" w:type="dxa"/>
            <w:vAlign w:val="center"/>
          </w:tcPr>
          <w:p w14:paraId="7B689893">
            <w:pPr>
              <w:pStyle w:val="32"/>
              <w:jc w:val="both"/>
              <w:rPr>
                <w:rFonts w:hint="eastAsia" w:ascii="宋体" w:hAnsi="宋体" w:eastAsia="宋体" w:cs="宋体"/>
                <w:b/>
                <w:kern w:val="2"/>
                <w:lang w:val="zh-CN"/>
              </w:rPr>
            </w:pPr>
            <w:r>
              <w:rPr>
                <w:rFonts w:hint="eastAsia" w:ascii="宋体" w:hAnsi="宋体" w:eastAsia="宋体" w:cs="宋体"/>
                <w:kern w:val="2"/>
                <w:lang w:val="zh-CN"/>
              </w:rPr>
              <w:t>●</w:t>
            </w:r>
            <w:r>
              <w:rPr>
                <w:rFonts w:hint="eastAsia" w:ascii="宋体" w:hAnsi="宋体" w:eastAsia="宋体" w:cs="宋体"/>
                <w:b/>
                <w:kern w:val="2"/>
                <w:lang w:val="zh-CN"/>
              </w:rPr>
              <w:t>专门面向中小企业采购</w:t>
            </w:r>
          </w:p>
          <w:p w14:paraId="763DCBC6">
            <w:pPr>
              <w:pStyle w:val="32"/>
              <w:ind w:left="38"/>
              <w:jc w:val="both"/>
              <w:rPr>
                <w:rFonts w:hint="eastAsia" w:ascii="宋体" w:hAnsi="宋体" w:eastAsia="宋体" w:cs="宋体"/>
                <w:b/>
                <w:kern w:val="2"/>
                <w:lang w:val="zh-CN"/>
              </w:rPr>
            </w:pPr>
            <w:r>
              <w:rPr>
                <w:rFonts w:hint="eastAsia" w:ascii="宋体" w:hAnsi="宋体" w:eastAsia="宋体" w:cs="宋体"/>
                <w:kern w:val="2"/>
                <w:sz w:val="21"/>
                <w:szCs w:val="21"/>
                <w:lang w:val="zh-CN"/>
              </w:rPr>
              <w:t>仅允许中小企业或小型、微型企业参与投标。</w:t>
            </w:r>
          </w:p>
        </w:tc>
      </w:tr>
      <w:tr w14:paraId="0742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D233E81">
            <w:pPr>
              <w:pStyle w:val="32"/>
              <w:ind w:left="38"/>
              <w:jc w:val="center"/>
              <w:rPr>
                <w:rFonts w:hint="eastAsia" w:ascii="宋体" w:hAnsi="宋体" w:eastAsia="宋体" w:cs="宋体"/>
                <w:kern w:val="2"/>
                <w:lang w:val="zh-CN"/>
              </w:rPr>
            </w:pPr>
          </w:p>
        </w:tc>
        <w:tc>
          <w:tcPr>
            <w:tcW w:w="1556" w:type="dxa"/>
            <w:vMerge w:val="continue"/>
            <w:vAlign w:val="center"/>
          </w:tcPr>
          <w:p w14:paraId="72D0C659">
            <w:pPr>
              <w:pStyle w:val="32"/>
              <w:ind w:left="96"/>
              <w:jc w:val="center"/>
              <w:rPr>
                <w:rFonts w:hint="eastAsia" w:ascii="宋体" w:hAnsi="宋体" w:eastAsia="宋体" w:cs="宋体"/>
                <w:kern w:val="2"/>
                <w:lang w:val="zh-CN"/>
              </w:rPr>
            </w:pPr>
          </w:p>
        </w:tc>
        <w:tc>
          <w:tcPr>
            <w:tcW w:w="8364" w:type="dxa"/>
            <w:vAlign w:val="center"/>
          </w:tcPr>
          <w:p w14:paraId="02C5E634">
            <w:pPr>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○非专门面向中小企业采购</w:t>
            </w:r>
          </w:p>
          <w:p w14:paraId="340D61DE">
            <w:pPr>
              <w:ind w:right="94" w:rightChars="45"/>
              <w:rPr>
                <w:rFonts w:hint="eastAsia" w:ascii="宋体" w:hAnsi="宋体" w:eastAsia="宋体" w:cs="宋体"/>
                <w:b/>
                <w:szCs w:val="21"/>
              </w:rPr>
            </w:pPr>
            <w:r>
              <w:rPr>
                <w:rFonts w:hint="eastAsia" w:ascii="宋体" w:hAnsi="宋体" w:eastAsia="宋体" w:cs="宋体"/>
                <w:color w:val="auto"/>
                <w:kern w:val="0"/>
                <w:szCs w:val="21"/>
                <w:lang w:val="zh-CN"/>
              </w:rPr>
              <w:t>对符合《政府采购促进中小企业发展管理办法》（财库〔2020〕46号）规定的小微企业（监狱企业视同小型、微型企业）的</w:t>
            </w:r>
            <w:r>
              <w:rPr>
                <w:rFonts w:hint="eastAsia" w:ascii="宋体" w:hAnsi="宋体" w:eastAsia="宋体" w:cs="宋体"/>
                <w:b/>
                <w:color w:val="auto"/>
                <w:kern w:val="0"/>
                <w:szCs w:val="21"/>
                <w:lang w:val="zh-CN"/>
              </w:rPr>
              <w:t>报价给予</w:t>
            </w:r>
            <w:r>
              <w:rPr>
                <w:rFonts w:hint="eastAsia" w:ascii="宋体" w:hAnsi="宋体" w:eastAsia="宋体" w:cs="宋体"/>
                <w:b/>
                <w:color w:val="auto"/>
                <w:kern w:val="0"/>
                <w:szCs w:val="21"/>
                <w:u w:val="single"/>
                <w:lang w:val="en-US" w:eastAsia="zh-CN"/>
              </w:rPr>
              <w:t>/</w:t>
            </w:r>
            <w:r>
              <w:rPr>
                <w:rFonts w:hint="eastAsia" w:ascii="宋体" w:hAnsi="宋体" w:eastAsia="宋体" w:cs="宋体"/>
                <w:b/>
                <w:color w:val="auto"/>
                <w:kern w:val="0"/>
                <w:szCs w:val="21"/>
                <w:lang w:val="zh-CN"/>
              </w:rPr>
              <w:t>%（3%-5%）的扣除（当采用招标方式时，实际上是对其价格分给予一定比例的增加）</w:t>
            </w:r>
            <w:r>
              <w:rPr>
                <w:rFonts w:hint="eastAsia" w:ascii="宋体" w:hAnsi="宋体" w:eastAsia="宋体" w:cs="宋体"/>
                <w:color w:val="auto"/>
                <w:kern w:val="0"/>
                <w:szCs w:val="21"/>
                <w:lang w:val="zh-CN"/>
              </w:rPr>
              <w:t>，用扣除后的价格参加评审。</w:t>
            </w:r>
          </w:p>
        </w:tc>
      </w:tr>
      <w:tr w14:paraId="510E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D4849C1">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6</w:t>
            </w:r>
          </w:p>
        </w:tc>
        <w:tc>
          <w:tcPr>
            <w:tcW w:w="1556" w:type="dxa"/>
            <w:vAlign w:val="center"/>
          </w:tcPr>
          <w:p w14:paraId="5A469545">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对供应商的</w:t>
            </w:r>
          </w:p>
          <w:p w14:paraId="719EE584">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资格要求</w:t>
            </w:r>
          </w:p>
        </w:tc>
        <w:tc>
          <w:tcPr>
            <w:tcW w:w="8364" w:type="dxa"/>
            <w:vAlign w:val="center"/>
          </w:tcPr>
          <w:p w14:paraId="24C78117">
            <w:pPr>
              <w:spacing w:line="276"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(1)供应商须具有独立承担民事责任能力的法人、其他组织或自然人，提供营业执照/事业单位法人证书/非企业专业服务机构执业许可证/自然人身份证。</w:t>
            </w:r>
          </w:p>
          <w:p w14:paraId="16ED477E">
            <w:pPr>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(2)供应商应授权合法的人员参加磋商全过程，其中法定代表人直接参加磋商的，须出具法人身份证复印件，并与营业执照上信息一致。法定代表人授权代表参加磋商的，须出具法定代表人授权书。</w:t>
            </w:r>
          </w:p>
          <w:p w14:paraId="09FFB453">
            <w:pPr>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投标人须提供2024年度或2025年度经审计的财务报告（至少包括审计报告、资产负债表、现金流量表、利润表及附注，成立时间至提交投标文件截止时间不足一年的可提供成立后任意时段的资产负债表）或提交投标文件截止时间三个月内其基本账户开户银行出具的资信证明（附基本存款账户信息）； </w:t>
            </w:r>
          </w:p>
          <w:p w14:paraId="24B4C8C4">
            <w:pPr>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(4)投标人提交投标文件截止时间前一年内至少一个月的纳税证明或完税证明，纳税证明或完税证明上应有代收机构或税务机关的公章或业务专用章。（依法免税的供应商应提供相应文件证明）；</w:t>
            </w:r>
          </w:p>
          <w:p w14:paraId="1BA49351">
            <w:pPr>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投标人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 </w:t>
            </w:r>
          </w:p>
          <w:p w14:paraId="72A81861">
            <w:pPr>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(6)供应商须具备建设行政主管部门颁发的建筑工程施工总承包三级及以上资质，同时具有有效的安全生产许可证。</w:t>
            </w:r>
          </w:p>
          <w:p w14:paraId="0BDF6083">
            <w:pPr>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(7)证书等级：二级及以上注册建造师资格 专业：建筑工程专业 补充说明：拟派本工程项目经理须具备建筑工程专业二级及以上注册建造师资格，同时具有合格有效的安全生产考核合格证（B证）,本单位注册且无在建工程。</w:t>
            </w:r>
          </w:p>
          <w:p w14:paraId="2E5CDD22">
            <w:pPr>
              <w:spacing w:line="276" w:lineRule="auto"/>
              <w:rPr>
                <w:rFonts w:hint="eastAsia" w:ascii="宋体" w:hAnsi="宋体" w:eastAsia="宋体" w:cs="宋体"/>
                <w:kern w:val="2"/>
                <w:lang w:val="zh-CN"/>
              </w:rPr>
            </w:pPr>
            <w:r>
              <w:rPr>
                <w:rFonts w:hint="eastAsia" w:ascii="宋体" w:hAnsi="宋体" w:eastAsia="宋体" w:cs="宋体"/>
                <w:bCs/>
                <w:sz w:val="24"/>
                <w:szCs w:val="24"/>
                <w:highlight w:val="none"/>
                <w:lang w:val="en-US" w:eastAsia="zh-CN"/>
              </w:rPr>
              <w:t>(8)本项目不接受联合体磋商，单位负责人为同一人或者存在控股、管理关系的不同单位不得同时参加磋商，提供承诺或相关说明并加盖公章。</w:t>
            </w:r>
          </w:p>
        </w:tc>
      </w:tr>
      <w:tr w14:paraId="5608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7BF00822">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7</w:t>
            </w:r>
          </w:p>
        </w:tc>
        <w:tc>
          <w:tcPr>
            <w:tcW w:w="1556" w:type="dxa"/>
            <w:vMerge w:val="restart"/>
            <w:vAlign w:val="center"/>
          </w:tcPr>
          <w:p w14:paraId="13D70F9C">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是否接受</w:t>
            </w:r>
          </w:p>
          <w:p w14:paraId="42552035">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联合体投标</w:t>
            </w:r>
          </w:p>
        </w:tc>
        <w:tc>
          <w:tcPr>
            <w:tcW w:w="8364" w:type="dxa"/>
            <w:vAlign w:val="center"/>
          </w:tcPr>
          <w:p w14:paraId="425BA48E">
            <w:pPr>
              <w:pStyle w:val="32"/>
              <w:jc w:val="both"/>
              <w:rPr>
                <w:rFonts w:hint="eastAsia" w:ascii="宋体" w:hAnsi="宋体" w:eastAsia="宋体" w:cs="宋体"/>
                <w:b/>
                <w:color w:val="auto"/>
                <w:kern w:val="2"/>
                <w:lang w:val="zh-CN"/>
              </w:rPr>
            </w:pPr>
            <w:r>
              <w:rPr>
                <w:rFonts w:hint="eastAsia" w:ascii="宋体" w:hAnsi="宋体" w:eastAsia="宋体" w:cs="宋体"/>
                <w:b/>
                <w:color w:val="auto"/>
                <w:kern w:val="2"/>
                <w:lang w:val="zh-CN"/>
              </w:rPr>
              <w:t>○接受</w:t>
            </w:r>
          </w:p>
          <w:p w14:paraId="038A2CD1">
            <w:pPr>
              <w:pStyle w:val="32"/>
              <w:jc w:val="both"/>
              <w:rPr>
                <w:rFonts w:hint="eastAsia" w:ascii="宋体" w:hAnsi="宋体" w:eastAsia="宋体" w:cs="宋体"/>
                <w:b/>
                <w:kern w:val="2"/>
                <w:lang w:val="zh-CN"/>
              </w:rPr>
            </w:pPr>
            <w:r>
              <w:rPr>
                <w:rFonts w:hint="eastAsia" w:ascii="宋体" w:hAnsi="宋体" w:eastAsia="宋体" w:cs="宋体"/>
                <w:color w:val="auto"/>
                <w:kern w:val="2"/>
                <w:sz w:val="21"/>
                <w:szCs w:val="21"/>
                <w:lang w:val="zh-CN"/>
              </w:rPr>
              <w:t>对于联合体协议或者分包意向协议约定小微企业的合同份额占到合同总金额30%以上的，对联合体或者大中型企业的报价</w:t>
            </w:r>
            <w:r>
              <w:rPr>
                <w:rFonts w:hint="eastAsia" w:ascii="宋体" w:hAnsi="宋体" w:eastAsia="宋体" w:cs="宋体"/>
                <w:b/>
                <w:color w:val="auto"/>
                <w:kern w:val="2"/>
                <w:sz w:val="21"/>
                <w:szCs w:val="21"/>
                <w:lang w:val="zh-CN"/>
              </w:rPr>
              <w:t>给予</w:t>
            </w:r>
            <w:r>
              <w:rPr>
                <w:rFonts w:hint="eastAsia" w:ascii="宋体" w:hAnsi="宋体" w:eastAsia="宋体" w:cs="宋体"/>
                <w:b/>
                <w:color w:val="auto"/>
                <w:kern w:val="2"/>
                <w:sz w:val="21"/>
                <w:szCs w:val="21"/>
                <w:u w:val="single"/>
                <w:lang w:val="en-US" w:eastAsia="zh-CN"/>
              </w:rPr>
              <w:t>/</w:t>
            </w:r>
            <w:r>
              <w:rPr>
                <w:rFonts w:hint="eastAsia" w:ascii="宋体" w:hAnsi="宋体" w:eastAsia="宋体" w:cs="宋体"/>
                <w:b/>
                <w:color w:val="auto"/>
                <w:kern w:val="2"/>
                <w:sz w:val="21"/>
                <w:szCs w:val="21"/>
                <w:lang w:val="zh-CN"/>
              </w:rPr>
              <w:t>%（4%—6%）的扣除</w:t>
            </w:r>
            <w:r>
              <w:rPr>
                <w:rFonts w:hint="eastAsia" w:ascii="宋体" w:hAnsi="宋体" w:eastAsia="宋体" w:cs="宋体"/>
                <w:b/>
                <w:color w:val="auto"/>
                <w:szCs w:val="21"/>
                <w:lang w:val="zh-CN"/>
              </w:rPr>
              <w:t>（当采用招标方式时，实际上是对其价格分给予一定比例的增加）</w:t>
            </w:r>
            <w:r>
              <w:rPr>
                <w:rFonts w:hint="eastAsia" w:ascii="宋体" w:hAnsi="宋体" w:eastAsia="宋体" w:cs="宋体"/>
                <w:color w:val="auto"/>
                <w:kern w:val="2"/>
                <w:sz w:val="21"/>
                <w:szCs w:val="21"/>
                <w:lang w:val="zh-CN"/>
              </w:rPr>
              <w:t>，用扣除后的报价参加评审。</w:t>
            </w:r>
          </w:p>
        </w:tc>
      </w:tr>
      <w:tr w14:paraId="2339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AA3890E">
            <w:pPr>
              <w:pStyle w:val="32"/>
              <w:ind w:left="38"/>
              <w:jc w:val="center"/>
              <w:rPr>
                <w:rFonts w:hint="eastAsia" w:ascii="宋体" w:hAnsi="宋体" w:eastAsia="宋体" w:cs="宋体"/>
                <w:kern w:val="2"/>
                <w:lang w:val="zh-CN"/>
              </w:rPr>
            </w:pPr>
          </w:p>
        </w:tc>
        <w:tc>
          <w:tcPr>
            <w:tcW w:w="1556" w:type="dxa"/>
            <w:vMerge w:val="continue"/>
            <w:vAlign w:val="center"/>
          </w:tcPr>
          <w:p w14:paraId="5395EB60">
            <w:pPr>
              <w:pStyle w:val="32"/>
              <w:ind w:left="96"/>
              <w:jc w:val="center"/>
              <w:rPr>
                <w:rFonts w:hint="eastAsia" w:ascii="宋体" w:hAnsi="宋体" w:eastAsia="宋体" w:cs="宋体"/>
                <w:kern w:val="2"/>
                <w:lang w:val="zh-CN"/>
              </w:rPr>
            </w:pPr>
          </w:p>
        </w:tc>
        <w:tc>
          <w:tcPr>
            <w:tcW w:w="8364" w:type="dxa"/>
            <w:vAlign w:val="center"/>
          </w:tcPr>
          <w:p w14:paraId="38F4695E">
            <w:pPr>
              <w:pStyle w:val="32"/>
              <w:jc w:val="both"/>
              <w:rPr>
                <w:rFonts w:hint="eastAsia" w:ascii="宋体" w:hAnsi="宋体" w:eastAsia="宋体" w:cs="宋体"/>
                <w:b/>
                <w:kern w:val="2"/>
                <w:lang w:val="zh-CN"/>
              </w:rPr>
            </w:pPr>
            <w:r>
              <w:rPr>
                <w:rFonts w:hint="eastAsia" w:ascii="宋体" w:hAnsi="宋体" w:eastAsia="宋体" w:cs="宋体"/>
                <w:kern w:val="2"/>
                <w:lang w:val="zh-CN"/>
              </w:rPr>
              <w:t>●</w:t>
            </w:r>
            <w:r>
              <w:rPr>
                <w:rFonts w:hint="eastAsia" w:ascii="宋体" w:hAnsi="宋体" w:eastAsia="宋体" w:cs="宋体"/>
                <w:b/>
                <w:kern w:val="2"/>
                <w:lang w:val="zh-CN"/>
              </w:rPr>
              <w:t>不接受</w:t>
            </w:r>
          </w:p>
        </w:tc>
      </w:tr>
      <w:tr w14:paraId="2B52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FF24C53">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8</w:t>
            </w:r>
          </w:p>
        </w:tc>
        <w:tc>
          <w:tcPr>
            <w:tcW w:w="1556" w:type="dxa"/>
            <w:vMerge w:val="restart"/>
            <w:vAlign w:val="center"/>
          </w:tcPr>
          <w:p w14:paraId="2CB27083">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履约保证金</w:t>
            </w:r>
          </w:p>
        </w:tc>
        <w:tc>
          <w:tcPr>
            <w:tcW w:w="8364" w:type="dxa"/>
            <w:vAlign w:val="center"/>
          </w:tcPr>
          <w:p w14:paraId="4FBFE74A">
            <w:pPr>
              <w:ind w:right="94" w:rightChars="45"/>
              <w:rPr>
                <w:rFonts w:hint="eastAsia" w:ascii="宋体" w:hAnsi="宋体" w:eastAsia="宋体" w:cs="宋体"/>
                <w:b/>
                <w:color w:val="auto"/>
                <w:sz w:val="24"/>
              </w:rPr>
            </w:pPr>
            <w:r>
              <w:rPr>
                <w:rFonts w:hint="eastAsia" w:ascii="宋体" w:hAnsi="宋体" w:eastAsia="宋体" w:cs="宋体"/>
                <w:b/>
                <w:color w:val="auto"/>
                <w:sz w:val="24"/>
              </w:rPr>
              <w:t>占政府采购合同金额的</w:t>
            </w:r>
            <w:r>
              <w:rPr>
                <w:rFonts w:hint="eastAsia" w:ascii="宋体" w:hAnsi="宋体" w:eastAsia="宋体" w:cs="宋体"/>
                <w:b/>
                <w:color w:val="auto"/>
                <w:sz w:val="24"/>
                <w:u w:val="single"/>
                <w:lang w:val="en-US" w:eastAsia="zh-CN"/>
              </w:rPr>
              <w:t>/</w:t>
            </w:r>
            <w:r>
              <w:rPr>
                <w:rFonts w:hint="eastAsia" w:ascii="宋体" w:hAnsi="宋体" w:eastAsia="宋体" w:cs="宋体"/>
                <w:b/>
                <w:color w:val="auto"/>
                <w:sz w:val="24"/>
              </w:rPr>
              <w:t>%</w:t>
            </w:r>
          </w:p>
          <w:p w14:paraId="3E2920E0">
            <w:pPr>
              <w:ind w:right="94" w:rightChars="45"/>
              <w:rPr>
                <w:rFonts w:hint="eastAsia" w:ascii="宋体" w:hAnsi="宋体" w:eastAsia="宋体" w:cs="宋体"/>
                <w:szCs w:val="21"/>
              </w:rPr>
            </w:pPr>
            <w:r>
              <w:rPr>
                <w:rFonts w:hint="eastAsia" w:ascii="宋体" w:hAnsi="宋体" w:eastAsia="宋体" w:cs="宋体"/>
                <w:color w:val="auto"/>
                <w:szCs w:val="21"/>
              </w:rPr>
              <w:t>履约保证金的数额不得超过政府采购合同金额的5%；对于单价合同，其数额不得超过采购预算的5%</w:t>
            </w:r>
          </w:p>
        </w:tc>
      </w:tr>
      <w:tr w14:paraId="6C3D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2F5A0E2D">
            <w:pPr>
              <w:pStyle w:val="32"/>
              <w:ind w:left="38"/>
              <w:jc w:val="center"/>
              <w:rPr>
                <w:rFonts w:hint="eastAsia" w:ascii="宋体" w:hAnsi="宋体" w:eastAsia="宋体" w:cs="宋体"/>
                <w:kern w:val="2"/>
                <w:lang w:val="zh-CN"/>
              </w:rPr>
            </w:pPr>
          </w:p>
        </w:tc>
        <w:tc>
          <w:tcPr>
            <w:tcW w:w="1556" w:type="dxa"/>
            <w:vMerge w:val="continue"/>
            <w:vAlign w:val="center"/>
          </w:tcPr>
          <w:p w14:paraId="626504AE">
            <w:pPr>
              <w:pStyle w:val="32"/>
              <w:ind w:left="96"/>
              <w:jc w:val="center"/>
              <w:rPr>
                <w:rFonts w:hint="eastAsia" w:ascii="宋体" w:hAnsi="宋体" w:eastAsia="宋体" w:cs="宋体"/>
                <w:kern w:val="2"/>
                <w:lang w:val="zh-CN"/>
              </w:rPr>
            </w:pPr>
          </w:p>
        </w:tc>
        <w:tc>
          <w:tcPr>
            <w:tcW w:w="8364" w:type="dxa"/>
            <w:vAlign w:val="center"/>
          </w:tcPr>
          <w:p w14:paraId="6CACDCFA">
            <w:pPr>
              <w:ind w:right="94" w:rightChars="45"/>
              <w:rPr>
                <w:rFonts w:hint="eastAsia" w:ascii="宋体" w:hAnsi="宋体" w:eastAsia="宋体" w:cs="宋体"/>
                <w:b/>
                <w:sz w:val="24"/>
              </w:rPr>
            </w:pPr>
            <w:r>
              <w:rPr>
                <w:rFonts w:hint="eastAsia" w:ascii="宋体" w:hAnsi="宋体" w:eastAsia="宋体" w:cs="宋体"/>
                <w:b/>
                <w:sz w:val="24"/>
              </w:rPr>
              <w:t>○由采购单位自行收退</w:t>
            </w:r>
          </w:p>
          <w:p w14:paraId="44652A98">
            <w:pPr>
              <w:ind w:right="94" w:rightChars="45"/>
              <w:rPr>
                <w:rFonts w:hint="eastAsia" w:ascii="宋体" w:hAnsi="宋体" w:eastAsia="宋体" w:cs="宋体"/>
                <w:b/>
                <w:sz w:val="24"/>
              </w:rPr>
            </w:pPr>
            <w:r>
              <w:rPr>
                <w:rFonts w:hint="eastAsia" w:ascii="宋体" w:hAnsi="宋体" w:eastAsia="宋体" w:cs="宋体"/>
                <w:b/>
                <w:sz w:val="24"/>
              </w:rPr>
              <w:t>○由代理机构负责收退</w:t>
            </w:r>
          </w:p>
        </w:tc>
      </w:tr>
      <w:tr w14:paraId="1738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2469416">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9</w:t>
            </w:r>
          </w:p>
        </w:tc>
        <w:tc>
          <w:tcPr>
            <w:tcW w:w="1556" w:type="dxa"/>
            <w:vAlign w:val="center"/>
          </w:tcPr>
          <w:p w14:paraId="3ABF5B90">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现场踏勘和集中答疑</w:t>
            </w:r>
          </w:p>
        </w:tc>
        <w:tc>
          <w:tcPr>
            <w:tcW w:w="8364" w:type="dxa"/>
            <w:vAlign w:val="center"/>
          </w:tcPr>
          <w:p w14:paraId="7C4F9F6F">
            <w:pPr>
              <w:ind w:right="94" w:rightChars="45"/>
              <w:rPr>
                <w:rFonts w:hint="eastAsia" w:ascii="宋体" w:hAnsi="宋体" w:eastAsia="宋体" w:cs="宋体"/>
                <w:b/>
                <w:sz w:val="24"/>
              </w:rPr>
            </w:pPr>
            <w:r>
              <w:rPr>
                <w:rFonts w:hint="eastAsia" w:ascii="宋体" w:hAnsi="宋体" w:eastAsia="宋体" w:cs="宋体"/>
                <w:b/>
                <w:sz w:val="24"/>
              </w:rPr>
              <w:t>○组织，集结地点为：_______________________</w:t>
            </w:r>
          </w:p>
          <w:p w14:paraId="36A2661D">
            <w:pPr>
              <w:ind w:right="94" w:rightChars="45"/>
              <w:rPr>
                <w:rFonts w:hint="eastAsia" w:ascii="宋体" w:hAnsi="宋体" w:eastAsia="宋体" w:cs="宋体"/>
                <w:b/>
                <w:sz w:val="24"/>
              </w:rPr>
            </w:pPr>
            <w:r>
              <w:rPr>
                <w:rFonts w:hint="eastAsia" w:ascii="宋体" w:hAnsi="宋体" w:eastAsia="宋体" w:cs="宋体"/>
                <w:kern w:val="2"/>
                <w:lang w:val="zh-CN"/>
              </w:rPr>
              <w:t>●</w:t>
            </w:r>
            <w:r>
              <w:rPr>
                <w:rFonts w:hint="eastAsia" w:ascii="宋体" w:hAnsi="宋体" w:eastAsia="宋体" w:cs="宋体"/>
                <w:b/>
                <w:sz w:val="24"/>
              </w:rPr>
              <w:t>不组织</w:t>
            </w:r>
          </w:p>
        </w:tc>
      </w:tr>
      <w:tr w14:paraId="0882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9F3FF14">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10</w:t>
            </w:r>
          </w:p>
        </w:tc>
        <w:tc>
          <w:tcPr>
            <w:tcW w:w="1556" w:type="dxa"/>
            <w:vAlign w:val="center"/>
          </w:tcPr>
          <w:p w14:paraId="23224010">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价格分比重</w:t>
            </w:r>
          </w:p>
        </w:tc>
        <w:tc>
          <w:tcPr>
            <w:tcW w:w="8364" w:type="dxa"/>
            <w:vAlign w:val="center"/>
          </w:tcPr>
          <w:p w14:paraId="01FCC6C0">
            <w:pPr>
              <w:widowControl/>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占总分值的</w:t>
            </w:r>
            <w:r>
              <w:rPr>
                <w:rFonts w:hint="eastAsia" w:ascii="宋体" w:hAnsi="宋体" w:eastAsia="宋体" w:cs="宋体"/>
                <w:b/>
                <w:kern w:val="0"/>
                <w:sz w:val="24"/>
                <w:szCs w:val="24"/>
                <w:u w:val="single"/>
                <w:lang w:val="en-US" w:eastAsia="zh-CN"/>
              </w:rPr>
              <w:t xml:space="preserve">30 </w:t>
            </w:r>
            <w:r>
              <w:rPr>
                <w:rFonts w:hint="eastAsia" w:ascii="宋体" w:hAnsi="宋体" w:eastAsia="宋体" w:cs="宋体"/>
                <w:b/>
                <w:kern w:val="0"/>
                <w:sz w:val="24"/>
                <w:szCs w:val="24"/>
                <w:lang w:val="zh-CN"/>
              </w:rPr>
              <w:t>%</w:t>
            </w:r>
          </w:p>
          <w:p w14:paraId="38AF26EC">
            <w:pPr>
              <w:widowControl/>
              <w:rPr>
                <w:rFonts w:hint="eastAsia" w:ascii="宋体" w:hAnsi="宋体" w:eastAsia="宋体" w:cs="宋体"/>
                <w:kern w:val="0"/>
                <w:szCs w:val="21"/>
                <w:lang w:val="zh-CN"/>
              </w:rPr>
            </w:pPr>
            <w:r>
              <w:rPr>
                <w:rFonts w:hint="eastAsia" w:ascii="宋体" w:hAnsi="宋体" w:eastAsia="宋体" w:cs="宋体"/>
                <w:kern w:val="0"/>
                <w:szCs w:val="21"/>
                <w:lang w:val="zh-CN"/>
              </w:rPr>
              <w:t>政府采购法律法规未有明确限制。</w:t>
            </w:r>
          </w:p>
        </w:tc>
      </w:tr>
      <w:tr w14:paraId="678C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49F0E33">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11</w:t>
            </w:r>
          </w:p>
        </w:tc>
        <w:tc>
          <w:tcPr>
            <w:tcW w:w="1556" w:type="dxa"/>
            <w:vAlign w:val="center"/>
          </w:tcPr>
          <w:p w14:paraId="18CDCBE5">
            <w:pPr>
              <w:pStyle w:val="32"/>
              <w:ind w:left="96"/>
              <w:jc w:val="center"/>
              <w:rPr>
                <w:rFonts w:hint="eastAsia" w:ascii="宋体" w:hAnsi="宋体" w:eastAsia="宋体" w:cs="宋体"/>
                <w:kern w:val="2"/>
                <w:lang w:val="zh-CN"/>
              </w:rPr>
            </w:pPr>
            <w:r>
              <w:rPr>
                <w:rFonts w:hint="eastAsia" w:ascii="宋体" w:hAnsi="宋体" w:eastAsia="宋体" w:cs="宋体"/>
                <w:kern w:val="2"/>
                <w:lang w:val="zh-CN"/>
              </w:rPr>
              <w:t>合同类型</w:t>
            </w:r>
          </w:p>
        </w:tc>
        <w:tc>
          <w:tcPr>
            <w:tcW w:w="8364" w:type="dxa"/>
            <w:vAlign w:val="center"/>
          </w:tcPr>
          <w:p w14:paraId="1234E7F6">
            <w:pPr>
              <w:rPr>
                <w:rFonts w:hint="eastAsia" w:ascii="宋体" w:hAnsi="宋体" w:eastAsia="宋体" w:cs="宋体"/>
                <w:b/>
                <w:sz w:val="24"/>
                <w:lang w:val="zh-CN"/>
              </w:rPr>
            </w:pPr>
            <w:r>
              <w:rPr>
                <w:rFonts w:hint="eastAsia" w:ascii="宋体" w:hAnsi="宋体" w:eastAsia="宋体" w:cs="宋体"/>
                <w:b/>
                <w:sz w:val="24"/>
                <w:lang w:val="zh-CN"/>
              </w:rPr>
              <w:t>○总价</w:t>
            </w:r>
          </w:p>
          <w:p w14:paraId="67323B8C">
            <w:pPr>
              <w:rPr>
                <w:rFonts w:hint="eastAsia" w:ascii="宋体" w:hAnsi="宋体" w:eastAsia="宋体" w:cs="宋体"/>
                <w:b/>
                <w:sz w:val="24"/>
                <w:lang w:val="zh-CN"/>
              </w:rPr>
            </w:pPr>
            <w:r>
              <w:rPr>
                <w:rFonts w:hint="eastAsia" w:ascii="宋体" w:hAnsi="宋体" w:eastAsia="宋体" w:cs="宋体"/>
                <w:kern w:val="2"/>
                <w:sz w:val="24"/>
                <w:szCs w:val="24"/>
                <w:lang w:val="zh-CN"/>
              </w:rPr>
              <w:t>●</w:t>
            </w:r>
            <w:r>
              <w:rPr>
                <w:rFonts w:hint="eastAsia" w:ascii="宋体" w:hAnsi="宋体" w:eastAsia="宋体" w:cs="宋体"/>
                <w:b/>
                <w:sz w:val="24"/>
                <w:lang w:val="zh-CN"/>
              </w:rPr>
              <w:t>综合单价（适用于采购数量不定的情形）</w:t>
            </w:r>
          </w:p>
          <w:p w14:paraId="54504B6B">
            <w:pPr>
              <w:rPr>
                <w:rFonts w:hint="eastAsia" w:ascii="宋体" w:hAnsi="宋体" w:eastAsia="宋体" w:cs="宋体"/>
                <w:sz w:val="24"/>
                <w:lang w:val="zh-CN"/>
              </w:rPr>
            </w:pPr>
            <w:r>
              <w:rPr>
                <w:rFonts w:hint="eastAsia" w:ascii="宋体" w:hAnsi="宋体" w:eastAsia="宋体" w:cs="宋体"/>
                <w:b/>
                <w:sz w:val="24"/>
                <w:lang w:val="zh-CN"/>
              </w:rPr>
              <w:t>○其他：___________________________</w:t>
            </w:r>
          </w:p>
        </w:tc>
      </w:tr>
      <w:tr w14:paraId="0DBA5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F991BE8">
            <w:pPr>
              <w:pStyle w:val="32"/>
              <w:ind w:left="38"/>
              <w:jc w:val="center"/>
              <w:rPr>
                <w:rFonts w:hint="eastAsia" w:ascii="宋体" w:hAnsi="宋体" w:eastAsia="宋体" w:cs="宋体"/>
                <w:kern w:val="2"/>
                <w:lang w:val="zh-CN"/>
              </w:rPr>
            </w:pPr>
            <w:r>
              <w:rPr>
                <w:rFonts w:hint="eastAsia" w:ascii="宋体" w:hAnsi="宋体" w:eastAsia="宋体" w:cs="宋体"/>
                <w:kern w:val="2"/>
                <w:lang w:val="zh-CN"/>
              </w:rPr>
              <w:t>12</w:t>
            </w:r>
          </w:p>
        </w:tc>
        <w:tc>
          <w:tcPr>
            <w:tcW w:w="1556" w:type="dxa"/>
            <w:vAlign w:val="center"/>
          </w:tcPr>
          <w:p w14:paraId="2B07636C">
            <w:pPr>
              <w:tabs>
                <w:tab w:val="left" w:pos="7665"/>
              </w:tabs>
              <w:snapToGrid w:val="0"/>
              <w:jc w:val="center"/>
              <w:rPr>
                <w:rFonts w:hint="eastAsia" w:ascii="宋体" w:hAnsi="宋体" w:eastAsia="宋体" w:cs="宋体"/>
                <w:sz w:val="24"/>
              </w:rPr>
            </w:pPr>
            <w:r>
              <w:rPr>
                <w:rFonts w:hint="eastAsia" w:ascii="宋体" w:hAnsi="宋体" w:eastAsia="宋体" w:cs="宋体"/>
                <w:sz w:val="24"/>
              </w:rPr>
              <w:t>争议解决途径</w:t>
            </w:r>
          </w:p>
        </w:tc>
        <w:tc>
          <w:tcPr>
            <w:tcW w:w="8364" w:type="dxa"/>
            <w:vAlign w:val="center"/>
          </w:tcPr>
          <w:p w14:paraId="16CCC44C">
            <w:pPr>
              <w:tabs>
                <w:tab w:val="left" w:pos="7665"/>
              </w:tabs>
              <w:snapToGrid w:val="0"/>
              <w:rPr>
                <w:rFonts w:hint="eastAsia" w:ascii="宋体" w:hAnsi="宋体" w:eastAsia="宋体" w:cs="宋体"/>
                <w:b/>
                <w:sz w:val="24"/>
              </w:rPr>
            </w:pPr>
            <w:r>
              <w:rPr>
                <w:rFonts w:hint="eastAsia" w:ascii="宋体" w:hAnsi="宋体" w:eastAsia="宋体" w:cs="宋体"/>
                <w:kern w:val="2"/>
                <w:sz w:val="24"/>
                <w:szCs w:val="24"/>
                <w:lang w:val="zh-CN"/>
              </w:rPr>
              <w:t>●</w:t>
            </w:r>
            <w:r>
              <w:rPr>
                <w:rFonts w:hint="eastAsia" w:ascii="宋体" w:hAnsi="宋体" w:eastAsia="宋体" w:cs="宋体"/>
                <w:b/>
                <w:sz w:val="24"/>
              </w:rPr>
              <w:t>向有管辖权的人民法院提起诉讼</w:t>
            </w:r>
          </w:p>
          <w:p w14:paraId="46FA230B">
            <w:pPr>
              <w:tabs>
                <w:tab w:val="left" w:pos="7665"/>
              </w:tabs>
              <w:snapToGrid w:val="0"/>
              <w:rPr>
                <w:rFonts w:hint="eastAsia" w:ascii="宋体" w:hAnsi="宋体" w:eastAsia="宋体" w:cs="宋体"/>
                <w:b/>
                <w:sz w:val="24"/>
              </w:rPr>
            </w:pPr>
            <w:r>
              <w:rPr>
                <w:rFonts w:hint="eastAsia" w:ascii="宋体" w:hAnsi="宋体" w:eastAsia="宋体" w:cs="宋体"/>
                <w:b/>
                <w:sz w:val="24"/>
              </w:rPr>
              <w:t>○向西安仲裁委员会提请仲裁</w:t>
            </w:r>
          </w:p>
          <w:p w14:paraId="47562B65">
            <w:pPr>
              <w:tabs>
                <w:tab w:val="left" w:pos="7665"/>
              </w:tabs>
              <w:snapToGrid w:val="0"/>
              <w:rPr>
                <w:rFonts w:hint="eastAsia" w:ascii="宋体" w:hAnsi="宋体" w:eastAsia="宋体" w:cs="宋体"/>
                <w:sz w:val="24"/>
              </w:rPr>
            </w:pPr>
            <w:r>
              <w:rPr>
                <w:rFonts w:hint="eastAsia" w:ascii="宋体" w:hAnsi="宋体" w:eastAsia="宋体" w:cs="宋体"/>
                <w:b/>
                <w:sz w:val="24"/>
              </w:rPr>
              <w:t>○由供应商做出选择</w:t>
            </w:r>
          </w:p>
        </w:tc>
      </w:tr>
      <w:tr w14:paraId="1923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802A223">
            <w:pPr>
              <w:snapToGrid w:val="0"/>
              <w:spacing w:after="200"/>
              <w:jc w:val="center"/>
              <w:rPr>
                <w:rFonts w:hint="eastAsia" w:ascii="宋体" w:hAnsi="宋体" w:eastAsia="宋体" w:cs="宋体"/>
                <w:sz w:val="24"/>
              </w:rPr>
            </w:pPr>
            <w:r>
              <w:rPr>
                <w:rFonts w:hint="eastAsia" w:ascii="宋体" w:hAnsi="宋体" w:eastAsia="宋体" w:cs="宋体"/>
                <w:kern w:val="2"/>
                <w:sz w:val="24"/>
                <w:szCs w:val="24"/>
                <w:lang w:val="zh-CN" w:eastAsia="zh-CN" w:bidi="ar-SA"/>
              </w:rPr>
              <w:t>13</w:t>
            </w:r>
          </w:p>
        </w:tc>
        <w:tc>
          <w:tcPr>
            <w:tcW w:w="1556" w:type="dxa"/>
            <w:vAlign w:val="center"/>
          </w:tcPr>
          <w:p w14:paraId="5D333D37">
            <w:pPr>
              <w:snapToGrid w:val="0"/>
              <w:jc w:val="center"/>
              <w:rPr>
                <w:rFonts w:hint="eastAsia" w:ascii="宋体" w:hAnsi="宋体" w:eastAsia="宋体" w:cs="宋体"/>
                <w:sz w:val="24"/>
              </w:rPr>
            </w:pPr>
            <w:r>
              <w:rPr>
                <w:rFonts w:hint="eastAsia" w:ascii="宋体" w:hAnsi="宋体" w:eastAsia="宋体" w:cs="宋体"/>
                <w:sz w:val="24"/>
              </w:rPr>
              <w:t>联系方式</w:t>
            </w:r>
          </w:p>
        </w:tc>
        <w:tc>
          <w:tcPr>
            <w:tcW w:w="8364" w:type="dxa"/>
            <w:vAlign w:val="center"/>
          </w:tcPr>
          <w:p w14:paraId="619FB21F">
            <w:pPr>
              <w:tabs>
                <w:tab w:val="left" w:pos="7665"/>
              </w:tabs>
              <w:snapToGrid w:val="0"/>
              <w:rPr>
                <w:rFonts w:hint="eastAsia" w:ascii="宋体" w:hAnsi="宋体" w:eastAsia="宋体" w:cs="宋体"/>
                <w:b/>
                <w:bCs/>
                <w:sz w:val="24"/>
                <w:lang w:val="en-US" w:eastAsia="zh-CN"/>
              </w:rPr>
            </w:pPr>
            <w:r>
              <w:rPr>
                <w:rFonts w:hint="eastAsia" w:ascii="宋体" w:hAnsi="宋体" w:eastAsia="宋体" w:cs="宋体"/>
                <w:b/>
                <w:bCs/>
                <w:sz w:val="24"/>
              </w:rPr>
              <w:t>项目对接人：</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杨小臣</w:t>
            </w:r>
            <w:r>
              <w:rPr>
                <w:rFonts w:hint="eastAsia" w:ascii="宋体" w:hAnsi="宋体" w:eastAsia="宋体" w:cs="宋体"/>
                <w:b/>
                <w:bCs/>
                <w:sz w:val="24"/>
                <w:u w:val="single"/>
                <w:lang w:val="en-US" w:eastAsia="zh-CN"/>
              </w:rPr>
              <w:t xml:space="preserve">   </w:t>
            </w:r>
          </w:p>
          <w:p w14:paraId="372B9573">
            <w:pPr>
              <w:tabs>
                <w:tab w:val="left" w:pos="7665"/>
              </w:tabs>
              <w:snapToGrid w:val="0"/>
              <w:rPr>
                <w:rFonts w:hint="eastAsia" w:ascii="宋体" w:hAnsi="宋体" w:eastAsia="宋体" w:cs="宋体"/>
                <w:b/>
                <w:bCs/>
                <w:sz w:val="24"/>
                <w:lang w:val="en-US" w:eastAsia="zh-CN"/>
              </w:rPr>
            </w:pPr>
            <w:r>
              <w:rPr>
                <w:rFonts w:hint="eastAsia" w:ascii="宋体" w:hAnsi="宋体" w:eastAsia="宋体" w:cs="宋体"/>
                <w:b/>
                <w:bCs/>
                <w:sz w:val="24"/>
              </w:rPr>
              <w:t>联系电话：</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13891991776</w:t>
            </w:r>
            <w:r>
              <w:rPr>
                <w:rFonts w:hint="eastAsia" w:ascii="宋体" w:hAnsi="宋体" w:eastAsia="宋体" w:cs="宋体"/>
                <w:b/>
                <w:bCs/>
                <w:sz w:val="24"/>
                <w:u w:val="single"/>
                <w:lang w:val="en-US" w:eastAsia="zh-CN"/>
              </w:rPr>
              <w:t xml:space="preserve"> </w:t>
            </w:r>
          </w:p>
          <w:p w14:paraId="6E0F5336">
            <w:pPr>
              <w:tabs>
                <w:tab w:val="left" w:pos="7665"/>
              </w:tabs>
              <w:snapToGrid w:val="0"/>
              <w:rPr>
                <w:rFonts w:hint="default" w:ascii="宋体" w:hAnsi="宋体" w:eastAsia="宋体" w:cs="宋体"/>
                <w:sz w:val="24"/>
                <w:lang w:val="en-US" w:eastAsia="zh-CN"/>
              </w:rPr>
            </w:pPr>
            <w:r>
              <w:rPr>
                <w:rFonts w:hint="eastAsia" w:ascii="宋体" w:hAnsi="宋体" w:eastAsia="宋体" w:cs="宋体"/>
                <w:b/>
                <w:bCs/>
                <w:sz w:val="24"/>
              </w:rPr>
              <w:t>电子邮箱：</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 xml:space="preserve">     </w:t>
            </w:r>
          </w:p>
        </w:tc>
      </w:tr>
    </w:tbl>
    <w:p w14:paraId="10527BA1">
      <w:pPr>
        <w:bidi w:val="0"/>
        <w:rPr>
          <w:rFonts w:hint="eastAsia"/>
        </w:rPr>
      </w:pPr>
    </w:p>
    <w:p w14:paraId="1E8EA029">
      <w:pPr>
        <w:bidi w:val="0"/>
        <w:rPr>
          <w:rFonts w:hint="eastAsia"/>
        </w:rPr>
      </w:pPr>
    </w:p>
    <w:p w14:paraId="2A7E96BB">
      <w:pPr>
        <w:bidi w:val="0"/>
        <w:rPr>
          <w:rFonts w:hint="eastAsia"/>
        </w:rPr>
      </w:pPr>
    </w:p>
    <w:p w14:paraId="1CDE252A">
      <w:pPr>
        <w:bidi w:val="0"/>
        <w:rPr>
          <w:rFonts w:hint="eastAsia"/>
        </w:rPr>
      </w:pPr>
    </w:p>
    <w:p w14:paraId="371C7E10">
      <w:pPr>
        <w:bidi w:val="0"/>
        <w:rPr>
          <w:rFonts w:hint="eastAsia"/>
        </w:rPr>
      </w:pPr>
    </w:p>
    <w:p w14:paraId="44D388CA">
      <w:pPr>
        <w:bidi w:val="0"/>
        <w:rPr>
          <w:rFonts w:hint="eastAsia"/>
        </w:rPr>
      </w:pPr>
    </w:p>
    <w:p w14:paraId="0FEDB851">
      <w:pPr>
        <w:bidi w:val="0"/>
        <w:rPr>
          <w:rFonts w:hint="eastAsia"/>
        </w:rPr>
      </w:pPr>
    </w:p>
    <w:p w14:paraId="285310B3">
      <w:pPr>
        <w:bidi w:val="0"/>
        <w:rPr>
          <w:rFonts w:hint="eastAsia"/>
        </w:rPr>
      </w:pPr>
    </w:p>
    <w:p w14:paraId="06876598">
      <w:pPr>
        <w:bidi w:val="0"/>
        <w:rPr>
          <w:rFonts w:hint="eastAsia"/>
        </w:rPr>
      </w:pPr>
    </w:p>
    <w:p w14:paraId="4B020CB7">
      <w:pPr>
        <w:bidi w:val="0"/>
        <w:rPr>
          <w:rFonts w:hint="eastAsia"/>
        </w:rPr>
      </w:pPr>
      <w:bookmarkStart w:id="0" w:name="_GoBack"/>
      <w:bookmarkEnd w:id="0"/>
    </w:p>
    <w:p w14:paraId="7DB54226">
      <w:pPr>
        <w:bidi w:val="0"/>
        <w:rPr>
          <w:rFonts w:hint="eastAsia"/>
        </w:rPr>
      </w:pPr>
    </w:p>
    <w:p w14:paraId="6C5D1033">
      <w:pPr>
        <w:widowControl/>
        <w:jc w:val="center"/>
        <w:rPr>
          <w:rFonts w:hint="eastAsia" w:ascii="宋体" w:hAnsi="宋体" w:eastAsia="宋体" w:cs="宋体"/>
          <w:b/>
          <w:sz w:val="32"/>
          <w:szCs w:val="32"/>
        </w:rPr>
      </w:pPr>
      <w:r>
        <w:rPr>
          <w:rFonts w:hint="eastAsia" w:ascii="宋体" w:hAnsi="宋体" w:eastAsia="宋体" w:cs="宋体"/>
          <w:b/>
          <w:sz w:val="32"/>
          <w:szCs w:val="32"/>
        </w:rPr>
        <w:t>需求框架（工程类）</w:t>
      </w:r>
    </w:p>
    <w:p w14:paraId="4D5ED059">
      <w:pPr>
        <w:pBdr>
          <w:bottom w:val="single" w:color="auto" w:sz="4" w:space="1"/>
        </w:pBdr>
        <w:spacing w:beforeLines="100"/>
        <w:ind w:left="420" w:hanging="420"/>
        <w:rPr>
          <w:rFonts w:hint="eastAsia" w:ascii="宋体" w:hAnsi="宋体" w:eastAsia="宋体" w:cs="宋体"/>
          <w:b/>
          <w:sz w:val="28"/>
          <w:szCs w:val="28"/>
        </w:rPr>
      </w:pPr>
      <w:r>
        <w:rPr>
          <w:rFonts w:hint="eastAsia" w:ascii="宋体" w:hAnsi="宋体" w:eastAsia="宋体" w:cs="宋体"/>
          <w:b/>
          <w:sz w:val="28"/>
          <w:szCs w:val="28"/>
        </w:rPr>
        <w:t>一、项目概况</w:t>
      </w:r>
    </w:p>
    <w:p w14:paraId="6F9D40C2">
      <w:pPr>
        <w:pStyle w:val="39"/>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阎良区聚宝小学运动场改造项目主要包括拆除原有足球场地、跑道以及辅赛区面层至混凝土基层表面、拆除原有篮球场、羽毛球场地硅PU面层至混凝土基层表面、面层更新、运动场部分区域基层破损沉降需拆除并修复、运动场内原有铅球场地拆除,更新为跳远场地、运动场看台木座椅需更换、排水沟清淤、室外改造等。</w:t>
      </w:r>
    </w:p>
    <w:p w14:paraId="26E08899">
      <w:pPr>
        <w:pStyle w:val="39"/>
        <w:keepNext w:val="0"/>
        <w:keepLines w:val="0"/>
        <w:pageBreakBefore w:val="0"/>
        <w:widowControl w:val="0"/>
        <w:kinsoku/>
        <w:wordWrap/>
        <w:overflowPunct/>
        <w:topLinePunct w:val="0"/>
        <w:autoSpaceDE/>
        <w:autoSpaceDN/>
        <w:bidi w:val="0"/>
        <w:adjustRightInd/>
        <w:snapToGrid/>
        <w:spacing w:line="500" w:lineRule="exact"/>
        <w:ind w:left="0" w:firstLine="0" w:firstLineChars="0"/>
        <w:textAlignment w:val="auto"/>
        <w:rPr>
          <w:rFonts w:hint="eastAsia" w:ascii="宋体" w:hAnsi="宋体" w:eastAsia="宋体" w:cs="宋体"/>
          <w:b/>
          <w:sz w:val="28"/>
          <w:szCs w:val="28"/>
        </w:rPr>
      </w:pPr>
      <w:r>
        <w:rPr>
          <w:rFonts w:hint="eastAsia" w:ascii="宋体" w:hAnsi="宋体" w:eastAsia="宋体" w:cs="宋体"/>
          <w:b/>
          <w:sz w:val="28"/>
          <w:szCs w:val="28"/>
        </w:rPr>
        <w:t>二、工程内容和施工地点、计划工期、缺陷责任期、质量保修期</w:t>
      </w:r>
    </w:p>
    <w:p w14:paraId="7929B2D7">
      <w:pPr>
        <w:pStyle w:val="39"/>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（一）工程内容：</w:t>
      </w:r>
      <w:r>
        <w:rPr>
          <w:rFonts w:hint="eastAsia" w:ascii="宋体" w:hAnsi="宋体" w:eastAsia="宋体" w:cs="宋体"/>
          <w:color w:val="auto"/>
          <w:sz w:val="24"/>
          <w:szCs w:val="24"/>
          <w:lang w:eastAsia="zh-CN"/>
        </w:rPr>
        <w:t>工程量清单及图纸的全部内容；</w:t>
      </w:r>
    </w:p>
    <w:p w14:paraId="4D006750">
      <w:pPr>
        <w:pStyle w:val="39"/>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（二）工程地点：</w:t>
      </w:r>
      <w:r>
        <w:rPr>
          <w:rFonts w:hint="eastAsia" w:ascii="宋体" w:hAnsi="宋体" w:eastAsia="宋体" w:cs="宋体"/>
          <w:color w:val="auto"/>
          <w:sz w:val="24"/>
          <w:szCs w:val="24"/>
          <w:lang w:eastAsia="zh-CN"/>
        </w:rPr>
        <w:t>阎良区聚宝小学</w:t>
      </w:r>
      <w:r>
        <w:rPr>
          <w:rFonts w:hint="eastAsia" w:ascii="宋体" w:hAnsi="宋体" w:eastAsia="宋体" w:cs="宋体"/>
          <w:color w:val="auto"/>
          <w:sz w:val="24"/>
          <w:szCs w:val="24"/>
          <w:lang w:val="en-US" w:eastAsia="zh-CN"/>
        </w:rPr>
        <w:t>内</w:t>
      </w:r>
      <w:r>
        <w:rPr>
          <w:rFonts w:hint="eastAsia" w:ascii="宋体" w:hAnsi="宋体" w:eastAsia="宋体" w:cs="宋体"/>
          <w:color w:val="auto"/>
          <w:sz w:val="24"/>
          <w:szCs w:val="24"/>
        </w:rPr>
        <w:t>。</w:t>
      </w:r>
    </w:p>
    <w:p w14:paraId="4CB688A7">
      <w:pPr>
        <w:pStyle w:val="39"/>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（三）计划工期</w:t>
      </w:r>
      <w:r>
        <w:rPr>
          <w:rFonts w:hint="eastAsia" w:ascii="宋体" w:hAnsi="宋体" w:eastAsia="宋体" w:cs="宋体"/>
          <w:color w:val="auto"/>
          <w:sz w:val="24"/>
          <w:szCs w:val="24"/>
          <w:highlight w:val="none"/>
        </w:rPr>
        <w:t>：自进场之日起</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个日历日内竣工</w:t>
      </w:r>
      <w:r>
        <w:rPr>
          <w:rFonts w:hint="eastAsia" w:ascii="宋体" w:hAnsi="宋体" w:eastAsia="宋体" w:cs="宋体"/>
          <w:color w:val="auto"/>
          <w:sz w:val="24"/>
          <w:szCs w:val="24"/>
        </w:rPr>
        <w:t>。</w:t>
      </w:r>
    </w:p>
    <w:p w14:paraId="4BD153B1">
      <w:pPr>
        <w:pStyle w:val="39"/>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（四）缺陷责任期：</w:t>
      </w:r>
      <w:r>
        <w:rPr>
          <w:rFonts w:hint="eastAsia" w:ascii="宋体" w:hAnsi="宋体" w:eastAsia="宋体" w:cs="宋体"/>
          <w:color w:val="auto"/>
          <w:sz w:val="24"/>
          <w:szCs w:val="24"/>
          <w:lang w:val="en-US" w:eastAsia="zh-CN"/>
        </w:rPr>
        <w:t>质保期间履行好质保责任</w:t>
      </w:r>
      <w:r>
        <w:rPr>
          <w:rFonts w:hint="eastAsia" w:ascii="宋体" w:hAnsi="宋体" w:eastAsia="宋体" w:cs="宋体"/>
          <w:color w:val="auto"/>
          <w:sz w:val="24"/>
          <w:szCs w:val="24"/>
        </w:rPr>
        <w:t>。</w:t>
      </w:r>
    </w:p>
    <w:p w14:paraId="2B859F99">
      <w:pPr>
        <w:pStyle w:val="39"/>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auto"/>
          <w:sz w:val="24"/>
          <w:szCs w:val="24"/>
        </w:rPr>
        <w:t>（五）质量保修期：见《建设工程质量管理条例》。</w:t>
      </w:r>
    </w:p>
    <w:p w14:paraId="41126D21">
      <w:pPr>
        <w:pBdr>
          <w:bottom w:val="single" w:color="auto" w:sz="4" w:space="1"/>
        </w:pBdr>
        <w:spacing w:beforeLines="100"/>
        <w:ind w:left="420" w:hanging="420"/>
        <w:rPr>
          <w:rFonts w:hint="eastAsia" w:ascii="宋体" w:hAnsi="宋体" w:eastAsia="宋体" w:cs="宋体"/>
          <w:b/>
          <w:sz w:val="28"/>
          <w:szCs w:val="28"/>
        </w:rPr>
      </w:pPr>
      <w:r>
        <w:rPr>
          <w:rFonts w:hint="eastAsia" w:ascii="宋体" w:hAnsi="宋体" w:eastAsia="宋体" w:cs="宋体"/>
          <w:b/>
          <w:sz w:val="28"/>
          <w:szCs w:val="28"/>
        </w:rPr>
        <w:t>三、工程量清单和计价依据（可询问设计单位或评审单位）</w:t>
      </w:r>
    </w:p>
    <w:p w14:paraId="59EB19C9">
      <w:pPr>
        <w:keepNext w:val="0"/>
        <w:keepLines w:val="0"/>
        <w:pageBreakBefore w:val="0"/>
        <w:widowControl w:val="0"/>
        <w:kinsoku/>
        <w:wordWrap/>
        <w:overflowPunct/>
        <w:topLinePunct w:val="0"/>
        <w:autoSpaceDE/>
        <w:autoSpaceDN/>
        <w:bidi w:val="0"/>
        <w:adjustRightInd w:val="0"/>
        <w:snapToGrid w:val="0"/>
        <w:spacing w:line="520" w:lineRule="exact"/>
        <w:ind w:firstLine="482"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（一）计价依据</w:t>
      </w:r>
      <w:r>
        <w:rPr>
          <w:rFonts w:hint="eastAsia" w:ascii="宋体" w:hAnsi="宋体" w:eastAsia="宋体" w:cs="宋体"/>
          <w:color w:val="auto"/>
          <w:kern w:val="2"/>
          <w:sz w:val="24"/>
          <w:szCs w:val="24"/>
          <w:lang w:val="en-US" w:eastAsia="zh-CN" w:bidi="ar-SA"/>
        </w:rPr>
        <w:t>：</w:t>
      </w:r>
    </w:p>
    <w:p w14:paraId="541EE18F">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1、《建设工程工程量清单计价标准》（DB61/T5126—2025）、《房屋建筑与装饰工程工程量计算标准》（DB61/T5129—2025）、《市政工程工程量计算标准》（DB61/T5128—2025）；</w:t>
      </w:r>
    </w:p>
    <w:p w14:paraId="51CF1E3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2、《陕西省房屋建筑与装饰工程消耗量定额》2025、《陕西省市政工程消耗量定额》2025、《陕西省建设工程施工机械台班费用定额》2025、《陕西省建设工程施工仪器仪表台班费用定额》2025；</w:t>
      </w:r>
    </w:p>
    <w:p w14:paraId="5D51CC64">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3、《陕西省房屋建筑与装饰工程基价表》2025、《陕西省市政工程基价表》2025；</w:t>
      </w:r>
    </w:p>
    <w:p w14:paraId="6161265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4、材料价格参考2025年第12期《西安工程造价信息》(阎良区)及《陕西省工程造价管理信息》材料信息价并结合市场价计入；</w:t>
      </w:r>
    </w:p>
    <w:p w14:paraId="0BE3CAF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5、本工程计价软件采用广联达计价软件GBQ7.0陕西地区7.5000.23.3；</w:t>
      </w:r>
    </w:p>
    <w:p w14:paraId="01508E88">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6、其他相关资料；</w:t>
      </w:r>
    </w:p>
    <w:p w14:paraId="205BD4D8">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7、室外改造需破除恢复原水泥混凝土路面220㎡（做法:20cmC25水泥混凝土路面；30cm3:7灰土基层）；</w:t>
      </w:r>
    </w:p>
    <w:p w14:paraId="1FD7B3A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8、从W8井开始至W15井，需破除原管道，重新敷设新管道；</w:t>
      </w:r>
    </w:p>
    <w:p w14:paraId="792F011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9、从W8井开始至W15井，需拆除原砖砌检查井，新做高刚度、高韧性、结构筋HDPE塑料检查井；</w:t>
      </w:r>
    </w:p>
    <w:p w14:paraId="75F83EA2">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10、压力废水管道采用球墨铸铁管道DN150；</w:t>
      </w:r>
    </w:p>
    <w:p w14:paraId="0E668F4E">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11、化粪池采用成品预制钢筋混凝土；</w:t>
      </w:r>
    </w:p>
    <w:p w14:paraId="6E02A18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12、暂列金额67306.13元在其他项目费中计入；</w:t>
      </w:r>
    </w:p>
    <w:p w14:paraId="21FD2B6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13、招标代理服务费及工程量清单编制及计价18841.00在其他项目费中计入。</w:t>
      </w:r>
    </w:p>
    <w:p w14:paraId="2FEC7C01">
      <w:pPr>
        <w:keepNext w:val="0"/>
        <w:keepLines w:val="0"/>
        <w:pageBreakBefore w:val="0"/>
        <w:widowControl w:val="0"/>
        <w:kinsoku/>
        <w:wordWrap/>
        <w:overflowPunct/>
        <w:topLinePunct w:val="0"/>
        <w:autoSpaceDE/>
        <w:autoSpaceDN/>
        <w:bidi w:val="0"/>
        <w:adjustRightInd w:val="0"/>
        <w:snapToGrid w:val="0"/>
        <w:spacing w:line="600" w:lineRule="exact"/>
        <w:ind w:firstLine="482" w:firstLineChars="200"/>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w:t>
      </w:r>
      <w:r>
        <w:rPr>
          <w:rFonts w:hint="eastAsia" w:ascii="宋体" w:hAnsi="宋体" w:cs="宋体"/>
          <w:b/>
          <w:bCs/>
          <w:color w:val="auto"/>
          <w:kern w:val="2"/>
          <w:sz w:val="24"/>
          <w:szCs w:val="24"/>
          <w:lang w:val="en-US" w:eastAsia="zh-CN" w:bidi="ar-SA"/>
        </w:rPr>
        <w:t>二</w:t>
      </w:r>
      <w:r>
        <w:rPr>
          <w:rFonts w:hint="eastAsia" w:ascii="宋体" w:hAnsi="宋体" w:eastAsia="宋体" w:cs="宋体"/>
          <w:b/>
          <w:bCs/>
          <w:color w:val="auto"/>
          <w:kern w:val="2"/>
          <w:sz w:val="24"/>
          <w:szCs w:val="24"/>
          <w:lang w:val="en-US" w:eastAsia="zh-CN" w:bidi="ar-SA"/>
        </w:rPr>
        <w:t>）工程量清单：</w:t>
      </w:r>
    </w:p>
    <w:p w14:paraId="1F1B63FD">
      <w:pPr>
        <w:pBdr>
          <w:bottom w:val="single" w:color="auto" w:sz="4" w:space="1"/>
        </w:pBdr>
        <w:spacing w:beforeLines="100"/>
        <w:ind w:left="420" w:hanging="420"/>
        <w:rPr>
          <w:rFonts w:hint="eastAsia" w:ascii="宋体" w:hAnsi="宋体" w:eastAsia="宋体" w:cs="宋体"/>
          <w:b/>
          <w:sz w:val="28"/>
          <w:szCs w:val="28"/>
          <w:lang w:eastAsia="zh-CN"/>
        </w:rPr>
      </w:pPr>
    </w:p>
    <w:p w14:paraId="43D4CFBF">
      <w:pPr>
        <w:pBdr>
          <w:bottom w:val="single" w:color="auto" w:sz="4" w:space="1"/>
        </w:pBdr>
        <w:spacing w:beforeLines="100"/>
        <w:ind w:left="420" w:hanging="420"/>
        <w:rPr>
          <w:rFonts w:hint="eastAsia" w:ascii="宋体" w:hAnsi="宋体" w:eastAsia="宋体" w:cs="宋体"/>
          <w:b/>
          <w:sz w:val="28"/>
          <w:szCs w:val="28"/>
          <w:lang w:eastAsia="zh-CN"/>
        </w:rPr>
      </w:pPr>
      <w:r>
        <w:drawing>
          <wp:inline distT="0" distB="0" distL="114300" distR="114300">
            <wp:extent cx="5269230" cy="7426325"/>
            <wp:effectExtent l="0" t="0" r="762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230" cy="7426325"/>
                    </a:xfrm>
                    <a:prstGeom prst="rect">
                      <a:avLst/>
                    </a:prstGeom>
                    <a:noFill/>
                    <a:ln>
                      <a:noFill/>
                    </a:ln>
                  </pic:spPr>
                </pic:pic>
              </a:graphicData>
            </a:graphic>
          </wp:inline>
        </w:drawing>
      </w:r>
      <w:r>
        <w:drawing>
          <wp:inline distT="0" distB="0" distL="114300" distR="114300">
            <wp:extent cx="5274310" cy="7510145"/>
            <wp:effectExtent l="0" t="0" r="2540"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74310" cy="7510145"/>
                    </a:xfrm>
                    <a:prstGeom prst="rect">
                      <a:avLst/>
                    </a:prstGeom>
                    <a:noFill/>
                    <a:ln>
                      <a:noFill/>
                    </a:ln>
                  </pic:spPr>
                </pic:pic>
              </a:graphicData>
            </a:graphic>
          </wp:inline>
        </w:drawing>
      </w:r>
      <w:r>
        <w:drawing>
          <wp:inline distT="0" distB="0" distL="114300" distR="114300">
            <wp:extent cx="5269230" cy="7310120"/>
            <wp:effectExtent l="0" t="0" r="762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69230" cy="7310120"/>
                    </a:xfrm>
                    <a:prstGeom prst="rect">
                      <a:avLst/>
                    </a:prstGeom>
                    <a:noFill/>
                    <a:ln>
                      <a:noFill/>
                    </a:ln>
                  </pic:spPr>
                </pic:pic>
              </a:graphicData>
            </a:graphic>
          </wp:inline>
        </w:drawing>
      </w:r>
      <w:r>
        <w:drawing>
          <wp:inline distT="0" distB="0" distL="114300" distR="114300">
            <wp:extent cx="5272405" cy="7257415"/>
            <wp:effectExtent l="0" t="0" r="4445"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272405" cy="7257415"/>
                    </a:xfrm>
                    <a:prstGeom prst="rect">
                      <a:avLst/>
                    </a:prstGeom>
                    <a:noFill/>
                    <a:ln>
                      <a:noFill/>
                    </a:ln>
                  </pic:spPr>
                </pic:pic>
              </a:graphicData>
            </a:graphic>
          </wp:inline>
        </w:drawing>
      </w:r>
      <w:r>
        <w:drawing>
          <wp:inline distT="0" distB="0" distL="114300" distR="114300">
            <wp:extent cx="5273040" cy="7548880"/>
            <wp:effectExtent l="0" t="0" r="3810" b="139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5273040" cy="7548880"/>
                    </a:xfrm>
                    <a:prstGeom prst="rect">
                      <a:avLst/>
                    </a:prstGeom>
                    <a:noFill/>
                    <a:ln>
                      <a:noFill/>
                    </a:ln>
                  </pic:spPr>
                </pic:pic>
              </a:graphicData>
            </a:graphic>
          </wp:inline>
        </w:drawing>
      </w:r>
      <w:r>
        <w:drawing>
          <wp:inline distT="0" distB="0" distL="114300" distR="114300">
            <wp:extent cx="5271135" cy="7470140"/>
            <wp:effectExtent l="0" t="0" r="5715" b="165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5271135" cy="7470140"/>
                    </a:xfrm>
                    <a:prstGeom prst="rect">
                      <a:avLst/>
                    </a:prstGeom>
                    <a:noFill/>
                    <a:ln>
                      <a:noFill/>
                    </a:ln>
                  </pic:spPr>
                </pic:pic>
              </a:graphicData>
            </a:graphic>
          </wp:inline>
        </w:drawing>
      </w:r>
      <w:r>
        <w:drawing>
          <wp:inline distT="0" distB="0" distL="114300" distR="114300">
            <wp:extent cx="5272405" cy="7446010"/>
            <wp:effectExtent l="0" t="0" r="4445"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5272405" cy="7446010"/>
                    </a:xfrm>
                    <a:prstGeom prst="rect">
                      <a:avLst/>
                    </a:prstGeom>
                    <a:noFill/>
                    <a:ln>
                      <a:noFill/>
                    </a:ln>
                  </pic:spPr>
                </pic:pic>
              </a:graphicData>
            </a:graphic>
          </wp:inline>
        </w:drawing>
      </w:r>
      <w:r>
        <w:drawing>
          <wp:inline distT="0" distB="0" distL="114300" distR="114300">
            <wp:extent cx="5271135" cy="7451725"/>
            <wp:effectExtent l="0" t="0" r="5715" b="158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a:stretch>
                      <a:fillRect/>
                    </a:stretch>
                  </pic:blipFill>
                  <pic:spPr>
                    <a:xfrm>
                      <a:off x="0" y="0"/>
                      <a:ext cx="5271135" cy="7451725"/>
                    </a:xfrm>
                    <a:prstGeom prst="rect">
                      <a:avLst/>
                    </a:prstGeom>
                    <a:noFill/>
                    <a:ln>
                      <a:noFill/>
                    </a:ln>
                  </pic:spPr>
                </pic:pic>
              </a:graphicData>
            </a:graphic>
          </wp:inline>
        </w:drawing>
      </w:r>
      <w:r>
        <w:drawing>
          <wp:inline distT="0" distB="0" distL="114300" distR="114300">
            <wp:extent cx="5269230" cy="7238365"/>
            <wp:effectExtent l="0" t="0" r="762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3"/>
                    <a:stretch>
                      <a:fillRect/>
                    </a:stretch>
                  </pic:blipFill>
                  <pic:spPr>
                    <a:xfrm>
                      <a:off x="0" y="0"/>
                      <a:ext cx="5269230" cy="7238365"/>
                    </a:xfrm>
                    <a:prstGeom prst="rect">
                      <a:avLst/>
                    </a:prstGeom>
                    <a:noFill/>
                    <a:ln>
                      <a:noFill/>
                    </a:ln>
                  </pic:spPr>
                </pic:pic>
              </a:graphicData>
            </a:graphic>
          </wp:inline>
        </w:drawing>
      </w:r>
    </w:p>
    <w:p w14:paraId="3AD5998D">
      <w:pPr>
        <w:pBdr>
          <w:bottom w:val="single" w:color="auto" w:sz="4" w:space="1"/>
        </w:pBdr>
        <w:spacing w:beforeLines="100"/>
        <w:rPr>
          <w:rFonts w:hint="eastAsia" w:ascii="宋体" w:hAnsi="宋体" w:eastAsia="宋体" w:cs="宋体"/>
          <w:b/>
          <w:sz w:val="28"/>
          <w:szCs w:val="28"/>
          <w:lang w:eastAsia="zh-CN"/>
        </w:rPr>
      </w:pPr>
    </w:p>
    <w:p w14:paraId="2B06647D">
      <w:pPr>
        <w:rPr>
          <w:rFonts w:hint="eastAsia" w:ascii="宋体" w:hAnsi="宋体" w:eastAsia="宋体" w:cs="宋体"/>
          <w:b/>
          <w:sz w:val="28"/>
          <w:szCs w:val="28"/>
        </w:rPr>
      </w:pPr>
      <w:r>
        <w:rPr>
          <w:rFonts w:hint="eastAsia" w:ascii="宋体" w:hAnsi="宋体" w:eastAsia="宋体" w:cs="宋体"/>
          <w:b/>
          <w:sz w:val="28"/>
          <w:szCs w:val="28"/>
        </w:rPr>
        <w:br w:type="page"/>
      </w:r>
    </w:p>
    <w:p w14:paraId="555463B8">
      <w:pPr>
        <w:pBdr>
          <w:bottom w:val="single" w:color="auto" w:sz="4" w:space="1"/>
        </w:pBdr>
        <w:spacing w:beforeLines="100"/>
        <w:ind w:left="420" w:hanging="420"/>
        <w:rPr>
          <w:rFonts w:hint="eastAsia" w:ascii="宋体" w:hAnsi="宋体" w:eastAsia="宋体" w:cs="宋体"/>
          <w:b/>
          <w:sz w:val="28"/>
          <w:szCs w:val="28"/>
        </w:rPr>
      </w:pPr>
      <w:r>
        <w:rPr>
          <w:rFonts w:hint="eastAsia" w:ascii="宋体" w:hAnsi="宋体" w:eastAsia="宋体" w:cs="宋体"/>
          <w:b/>
          <w:sz w:val="28"/>
          <w:szCs w:val="28"/>
        </w:rPr>
        <w:t>四、施工要求</w:t>
      </w:r>
    </w:p>
    <w:p w14:paraId="37687A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FF0000"/>
          <w:sz w:val="28"/>
          <w:szCs w:val="28"/>
        </w:rPr>
      </w:pPr>
      <w:r>
        <w:rPr>
          <w:rFonts w:hint="eastAsia" w:ascii="宋体" w:hAnsi="宋体" w:eastAsia="宋体" w:cs="宋体"/>
          <w:color w:val="auto"/>
          <w:kern w:val="2"/>
          <w:sz w:val="24"/>
          <w:szCs w:val="24"/>
          <w:lang w:val="en-US" w:eastAsia="zh-CN" w:bidi="ar-SA"/>
        </w:rPr>
        <w:t>在施工期间，中标供应商必须注意施工人员安全，加强安全措施，并对施工人员进行安全教育。施工人员必须持证上岗。因采购人工作的特殊性，要求中标供应商在施工中做到封闭性施工。</w:t>
      </w:r>
    </w:p>
    <w:p w14:paraId="30CEBBDA">
      <w:pPr>
        <w:pBdr>
          <w:bottom w:val="single" w:color="auto" w:sz="4" w:space="1"/>
        </w:pBdr>
        <w:spacing w:beforeLines="100"/>
        <w:ind w:left="420" w:hanging="420"/>
        <w:rPr>
          <w:rFonts w:hint="eastAsia" w:ascii="宋体" w:hAnsi="宋体" w:eastAsia="宋体" w:cs="宋体"/>
          <w:b/>
          <w:sz w:val="28"/>
          <w:szCs w:val="28"/>
        </w:rPr>
      </w:pPr>
      <w:r>
        <w:rPr>
          <w:rFonts w:hint="eastAsia" w:ascii="宋体" w:hAnsi="宋体" w:eastAsia="宋体" w:cs="宋体"/>
          <w:b/>
          <w:sz w:val="28"/>
          <w:szCs w:val="28"/>
        </w:rPr>
        <w:t>五、商务要求（如合同价款及结算方式等）</w:t>
      </w:r>
    </w:p>
    <w:p w14:paraId="5A9B2858">
      <w:pPr>
        <w:pStyle w:val="39"/>
        <w:spacing w:line="440" w:lineRule="exact"/>
        <w:ind w:firstLine="48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合同签订后，项目完成并验收合格后甲方向乙方支付合同款的 70%，待结算审计完成后甲方向乙方支付至项目结算价款的100%，乙方要在项目质保期间严格履行好质保责任。</w:t>
      </w:r>
    </w:p>
    <w:p w14:paraId="553C990B">
      <w:pPr>
        <w:pBdr>
          <w:bottom w:val="single" w:color="auto" w:sz="4" w:space="1"/>
        </w:pBdr>
        <w:spacing w:beforeLines="100"/>
        <w:rPr>
          <w:rFonts w:hint="eastAsia" w:ascii="宋体" w:hAnsi="宋体" w:eastAsia="宋体" w:cs="宋体"/>
          <w:b/>
          <w:sz w:val="28"/>
          <w:szCs w:val="28"/>
        </w:rPr>
      </w:pPr>
      <w:r>
        <w:rPr>
          <w:rFonts w:hint="eastAsia" w:ascii="宋体" w:hAnsi="宋体" w:eastAsia="宋体" w:cs="宋体"/>
          <w:b/>
          <w:sz w:val="28"/>
          <w:szCs w:val="28"/>
        </w:rPr>
        <w:t>六、其他</w:t>
      </w:r>
    </w:p>
    <w:p w14:paraId="63EAF347">
      <w:pPr>
        <w:spacing w:line="400" w:lineRule="exact"/>
        <w:ind w:firstLine="560" w:firstLineChars="200"/>
        <w:rPr>
          <w:rFonts w:hint="eastAsia" w:ascii="宋体" w:hAnsi="宋体" w:eastAsia="宋体" w:cs="宋体"/>
          <w:sz w:val="28"/>
          <w:szCs w:val="28"/>
        </w:rPr>
      </w:pPr>
    </w:p>
    <w:p w14:paraId="479892F2">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（一）对供应商的业绩要求。</w:t>
      </w:r>
    </w:p>
    <w:p w14:paraId="78EB0FD1">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具有2023年1月1日至今的类似项目业绩合同（以合同签订日期为准），投标响应文件中附有说明其业绩证明材料（业绩以合同为依据）。</w:t>
      </w:r>
    </w:p>
    <w:p w14:paraId="22DF46A1">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（二）质量验收标准或规范</w:t>
      </w:r>
    </w:p>
    <w:p w14:paraId="56CFD3D1">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工程质量符合国家现行行业施工验收规范“合格”标准。</w:t>
      </w:r>
    </w:p>
    <w:p w14:paraId="6F868383">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（三）违约责任</w:t>
      </w:r>
    </w:p>
    <w:p w14:paraId="584BE86C">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1、发包人承诺按照法律规定履行项目审批手续、筹集工程建设资金并按照合同约定的期限和方式支付合同价款。</w:t>
      </w:r>
    </w:p>
    <w:p w14:paraId="4EE24BFA">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2、承包人承诺按照法律规定及合同约定组织完成工程施工，确保具有合法的施工资质，保证工程质量和安全，不进行转包及违法分包，并在缺陷责任期及保修期内承担相应的工程维修责任。</w:t>
      </w:r>
    </w:p>
    <w:p w14:paraId="753F9842">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3、发包人和承包人通过招投标形式签订合同的，双方理解并承诺不再就同一工程另行签订与合同实质性内容相背离的协议。</w:t>
      </w:r>
    </w:p>
    <w:p w14:paraId="1919B4EB">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（四）与本工程相关的特别说明：</w:t>
      </w:r>
    </w:p>
    <w:p w14:paraId="12C86528">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本项目前期已完成设计，则在申请项目时向财政部门预算主管处室申请，将设计费从采购预算中剥离。</w:t>
      </w:r>
    </w:p>
    <w:p w14:paraId="5BB651F8">
      <w:pPr>
        <w:pStyle w:val="3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项目监理费用偏低向采购监管部门申请自行采购或分散采购。</w:t>
      </w:r>
    </w:p>
    <w:p w14:paraId="3F7AA6AD">
      <w:pPr>
        <w:spacing w:line="400" w:lineRule="exact"/>
        <w:ind w:firstLine="420" w:firstLineChars="200"/>
        <w:rPr>
          <w:rFonts w:hint="eastAsia" w:ascii="宋体" w:hAnsi="宋体" w:eastAsia="宋体" w:cs="宋体"/>
        </w:rPr>
      </w:pPr>
    </w:p>
    <w:sectPr>
      <w:headerReference r:id="rId3" w:type="default"/>
      <w:pgSz w:w="11906" w:h="16838"/>
      <w:pgMar w:top="1440" w:right="1800"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B70F9">
    <w:pPr>
      <w:pStyle w:val="7"/>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VmZDQ4ZjIwZmZiNzNkYWRmODNiYmU1YTQ0MWQxMjgifQ=="/>
    <w:docVar w:name="KSO_WPS_MARK_KEY" w:val="70eaec83-d874-4d33-b9db-a68c1c1ead47"/>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715"/>
    <w:rsid w:val="000D0AF3"/>
    <w:rsid w:val="000D0DE1"/>
    <w:rsid w:val="000D1277"/>
    <w:rsid w:val="000D4097"/>
    <w:rsid w:val="000E3FB5"/>
    <w:rsid w:val="000E6AE7"/>
    <w:rsid w:val="000F0C8A"/>
    <w:rsid w:val="000F1A9A"/>
    <w:rsid w:val="000F27AD"/>
    <w:rsid w:val="000F2BEC"/>
    <w:rsid w:val="000F3064"/>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4F9"/>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0B39"/>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29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6470"/>
    <w:rsid w:val="00311862"/>
    <w:rsid w:val="00316D60"/>
    <w:rsid w:val="003172BB"/>
    <w:rsid w:val="00322208"/>
    <w:rsid w:val="003245F8"/>
    <w:rsid w:val="00325D47"/>
    <w:rsid w:val="00325EF1"/>
    <w:rsid w:val="003276DE"/>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1AB2"/>
    <w:rsid w:val="00493684"/>
    <w:rsid w:val="00493E48"/>
    <w:rsid w:val="00496ACE"/>
    <w:rsid w:val="00497530"/>
    <w:rsid w:val="004A00FD"/>
    <w:rsid w:val="004A5CFF"/>
    <w:rsid w:val="004A61D7"/>
    <w:rsid w:val="004A6B5A"/>
    <w:rsid w:val="004B1026"/>
    <w:rsid w:val="004B5992"/>
    <w:rsid w:val="004C093C"/>
    <w:rsid w:val="004C0B7A"/>
    <w:rsid w:val="004C0CA0"/>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56272"/>
    <w:rsid w:val="0056216F"/>
    <w:rsid w:val="005627E9"/>
    <w:rsid w:val="00572506"/>
    <w:rsid w:val="00573AC9"/>
    <w:rsid w:val="00581DBA"/>
    <w:rsid w:val="00581F60"/>
    <w:rsid w:val="005829C2"/>
    <w:rsid w:val="00582A46"/>
    <w:rsid w:val="0058322B"/>
    <w:rsid w:val="00583A5C"/>
    <w:rsid w:val="0058471F"/>
    <w:rsid w:val="0058487A"/>
    <w:rsid w:val="005863EF"/>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22A"/>
    <w:rsid w:val="00843C41"/>
    <w:rsid w:val="0084500E"/>
    <w:rsid w:val="008455FB"/>
    <w:rsid w:val="0084584F"/>
    <w:rsid w:val="00850BC8"/>
    <w:rsid w:val="00850E33"/>
    <w:rsid w:val="00856715"/>
    <w:rsid w:val="00856DC0"/>
    <w:rsid w:val="00861CE7"/>
    <w:rsid w:val="00864D01"/>
    <w:rsid w:val="00865BFC"/>
    <w:rsid w:val="0087394A"/>
    <w:rsid w:val="00874D32"/>
    <w:rsid w:val="00881B84"/>
    <w:rsid w:val="008876A3"/>
    <w:rsid w:val="00887DFB"/>
    <w:rsid w:val="0089283A"/>
    <w:rsid w:val="00892ADC"/>
    <w:rsid w:val="00893813"/>
    <w:rsid w:val="00893886"/>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0732"/>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1668"/>
    <w:rsid w:val="00B32FCD"/>
    <w:rsid w:val="00B34577"/>
    <w:rsid w:val="00B34E07"/>
    <w:rsid w:val="00B43464"/>
    <w:rsid w:val="00B45223"/>
    <w:rsid w:val="00B45C7D"/>
    <w:rsid w:val="00B461F3"/>
    <w:rsid w:val="00B50C36"/>
    <w:rsid w:val="00B51C5E"/>
    <w:rsid w:val="00B52083"/>
    <w:rsid w:val="00B52525"/>
    <w:rsid w:val="00B52B44"/>
    <w:rsid w:val="00B52D72"/>
    <w:rsid w:val="00B56BAC"/>
    <w:rsid w:val="00B56D99"/>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3FFB"/>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17358"/>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AB5"/>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21D20"/>
    <w:rsid w:val="00F22674"/>
    <w:rsid w:val="00F22B78"/>
    <w:rsid w:val="00F244F9"/>
    <w:rsid w:val="00F25220"/>
    <w:rsid w:val="00F25320"/>
    <w:rsid w:val="00F26FA6"/>
    <w:rsid w:val="00F306D7"/>
    <w:rsid w:val="00F308B7"/>
    <w:rsid w:val="00F31736"/>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BF"/>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5D95"/>
    <w:rsid w:val="00FD613E"/>
    <w:rsid w:val="00FD6F4D"/>
    <w:rsid w:val="00FE05A0"/>
    <w:rsid w:val="00FE3FCF"/>
    <w:rsid w:val="00FF2E19"/>
    <w:rsid w:val="00FF756F"/>
    <w:rsid w:val="01643005"/>
    <w:rsid w:val="01F12C93"/>
    <w:rsid w:val="021F6B64"/>
    <w:rsid w:val="03065425"/>
    <w:rsid w:val="034B4BE6"/>
    <w:rsid w:val="037B196F"/>
    <w:rsid w:val="045A3333"/>
    <w:rsid w:val="04F05A45"/>
    <w:rsid w:val="05D6094B"/>
    <w:rsid w:val="06253E14"/>
    <w:rsid w:val="06640499"/>
    <w:rsid w:val="0B30764A"/>
    <w:rsid w:val="0BBD4A07"/>
    <w:rsid w:val="0BE30DD3"/>
    <w:rsid w:val="0CC10939"/>
    <w:rsid w:val="0DE4250C"/>
    <w:rsid w:val="0FA414A1"/>
    <w:rsid w:val="103C5FE2"/>
    <w:rsid w:val="105F10EA"/>
    <w:rsid w:val="112E0021"/>
    <w:rsid w:val="113157AE"/>
    <w:rsid w:val="128D1AAC"/>
    <w:rsid w:val="13983E78"/>
    <w:rsid w:val="13A152B7"/>
    <w:rsid w:val="162963D7"/>
    <w:rsid w:val="178A7F7B"/>
    <w:rsid w:val="180E295A"/>
    <w:rsid w:val="185B5474"/>
    <w:rsid w:val="1AB8095B"/>
    <w:rsid w:val="1ADB758F"/>
    <w:rsid w:val="1B505038"/>
    <w:rsid w:val="1C3D55BC"/>
    <w:rsid w:val="1C5B3C94"/>
    <w:rsid w:val="1CD04682"/>
    <w:rsid w:val="204D5FEA"/>
    <w:rsid w:val="22EC1AEA"/>
    <w:rsid w:val="2312712A"/>
    <w:rsid w:val="24651B54"/>
    <w:rsid w:val="24FE4EAD"/>
    <w:rsid w:val="28C13CBC"/>
    <w:rsid w:val="290D27BA"/>
    <w:rsid w:val="2A9F5694"/>
    <w:rsid w:val="2B41357D"/>
    <w:rsid w:val="2C0E24D2"/>
    <w:rsid w:val="2CFA1945"/>
    <w:rsid w:val="2D324BCA"/>
    <w:rsid w:val="2EDA4EED"/>
    <w:rsid w:val="2F3740ED"/>
    <w:rsid w:val="32476D3D"/>
    <w:rsid w:val="32A7117B"/>
    <w:rsid w:val="32A73338"/>
    <w:rsid w:val="33560E8F"/>
    <w:rsid w:val="341E587B"/>
    <w:rsid w:val="34232E92"/>
    <w:rsid w:val="34A2025B"/>
    <w:rsid w:val="3546508A"/>
    <w:rsid w:val="3599165E"/>
    <w:rsid w:val="36A75037"/>
    <w:rsid w:val="374521EE"/>
    <w:rsid w:val="3A7B3A28"/>
    <w:rsid w:val="3D1E7956"/>
    <w:rsid w:val="3D9A2417"/>
    <w:rsid w:val="3EAC5E06"/>
    <w:rsid w:val="3F4A7E6C"/>
    <w:rsid w:val="3FF8086E"/>
    <w:rsid w:val="4114603C"/>
    <w:rsid w:val="41FF4DFA"/>
    <w:rsid w:val="435604A3"/>
    <w:rsid w:val="43CE2E1A"/>
    <w:rsid w:val="441B1DD7"/>
    <w:rsid w:val="45977244"/>
    <w:rsid w:val="459B04C9"/>
    <w:rsid w:val="462A4554"/>
    <w:rsid w:val="47B928B9"/>
    <w:rsid w:val="48AE4FC8"/>
    <w:rsid w:val="48E71415"/>
    <w:rsid w:val="4A1E1AB1"/>
    <w:rsid w:val="4AE07F41"/>
    <w:rsid w:val="4B8B6452"/>
    <w:rsid w:val="50720FD1"/>
    <w:rsid w:val="5212481A"/>
    <w:rsid w:val="52157E66"/>
    <w:rsid w:val="53D76A77"/>
    <w:rsid w:val="54905ECA"/>
    <w:rsid w:val="565D1DDC"/>
    <w:rsid w:val="56772E9D"/>
    <w:rsid w:val="581B1F4E"/>
    <w:rsid w:val="58B972B7"/>
    <w:rsid w:val="5A2441F1"/>
    <w:rsid w:val="5B991B6A"/>
    <w:rsid w:val="5C7E485A"/>
    <w:rsid w:val="5DA94E4F"/>
    <w:rsid w:val="5E437B09"/>
    <w:rsid w:val="5EC23124"/>
    <w:rsid w:val="5F4C3117"/>
    <w:rsid w:val="615C785F"/>
    <w:rsid w:val="62791D4B"/>
    <w:rsid w:val="62897572"/>
    <w:rsid w:val="6481138B"/>
    <w:rsid w:val="66BE0F31"/>
    <w:rsid w:val="66FD119D"/>
    <w:rsid w:val="67B33F51"/>
    <w:rsid w:val="6802329C"/>
    <w:rsid w:val="6A357AB1"/>
    <w:rsid w:val="6A8A71EB"/>
    <w:rsid w:val="6ACD119A"/>
    <w:rsid w:val="6D035033"/>
    <w:rsid w:val="6E8C1058"/>
    <w:rsid w:val="6F451476"/>
    <w:rsid w:val="70394100"/>
    <w:rsid w:val="70D421A4"/>
    <w:rsid w:val="71AD5A24"/>
    <w:rsid w:val="71C64881"/>
    <w:rsid w:val="729624A5"/>
    <w:rsid w:val="730438B3"/>
    <w:rsid w:val="76096509"/>
    <w:rsid w:val="77044B03"/>
    <w:rsid w:val="7711659E"/>
    <w:rsid w:val="77512E3F"/>
    <w:rsid w:val="7A9D6AC7"/>
    <w:rsid w:val="7ACB6F6A"/>
    <w:rsid w:val="7B4E4D01"/>
    <w:rsid w:val="7BBA0112"/>
    <w:rsid w:val="7C63164A"/>
    <w:rsid w:val="7E6B270E"/>
    <w:rsid w:val="7EA9255D"/>
    <w:rsid w:val="7F196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3">
    <w:name w:val="annotation text"/>
    <w:basedOn w:val="1"/>
    <w:link w:val="36"/>
    <w:semiHidden/>
    <w:unhideWhenUsed/>
    <w:qFormat/>
    <w:uiPriority w:val="99"/>
    <w:pPr>
      <w:jc w:val="left"/>
    </w:pPr>
  </w:style>
  <w:style w:type="paragraph" w:styleId="4">
    <w:name w:val="Body Text Indent 2"/>
    <w:basedOn w:val="1"/>
    <w:qFormat/>
    <w:uiPriority w:val="99"/>
    <w:pPr>
      <w:spacing w:after="120" w:line="480" w:lineRule="auto"/>
      <w:ind w:left="420" w:leftChars="200"/>
    </w:pPr>
  </w:style>
  <w:style w:type="paragraph" w:styleId="5">
    <w:name w:val="Balloon Text"/>
    <w:basedOn w:val="1"/>
    <w:link w:val="38"/>
    <w:semiHidden/>
    <w:unhideWhenUsed/>
    <w:qFormat/>
    <w:uiPriority w:val="99"/>
    <w:rPr>
      <w:sz w:val="18"/>
      <w:szCs w:val="18"/>
    </w:rPr>
  </w:style>
  <w:style w:type="paragraph" w:styleId="6">
    <w:name w:val="footer"/>
    <w:basedOn w:val="1"/>
    <w:link w:val="35"/>
    <w:unhideWhenUsed/>
    <w:qFormat/>
    <w:uiPriority w:val="99"/>
    <w:pPr>
      <w:tabs>
        <w:tab w:val="center" w:pos="4153"/>
        <w:tab w:val="right" w:pos="8306"/>
      </w:tabs>
      <w:snapToGrid w:val="0"/>
      <w:jc w:val="left"/>
    </w:pPr>
    <w:rPr>
      <w:sz w:val="18"/>
      <w:szCs w:val="18"/>
    </w:rPr>
  </w:style>
  <w:style w:type="paragraph" w:styleId="7">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37"/>
    <w:semiHidden/>
    <w:unhideWhenUsed/>
    <w:qFormat/>
    <w:uiPriority w:val="99"/>
    <w:rPr>
      <w:b/>
      <w:bCs/>
    </w:rPr>
  </w:style>
  <w:style w:type="character" w:styleId="11">
    <w:name w:val="annotation reference"/>
    <w:basedOn w:val="10"/>
    <w:semiHidden/>
    <w:unhideWhenUsed/>
    <w:qFormat/>
    <w:uiPriority w:val="99"/>
    <w:rPr>
      <w:sz w:val="21"/>
      <w:szCs w:val="21"/>
    </w:rPr>
  </w:style>
  <w:style w:type="paragraph" w:customStyle="1" w:styleId="12">
    <w:name w:val="※封面大标题"/>
    <w:basedOn w:val="1"/>
    <w:next w:val="1"/>
    <w:qFormat/>
    <w:uiPriority w:val="0"/>
    <w:pPr>
      <w:widowControl/>
      <w:jc w:val="center"/>
    </w:pPr>
    <w:rPr>
      <w:rFonts w:ascii="华文中宋" w:hAnsi="华文中宋" w:eastAsia="华文中宋"/>
      <w:sz w:val="96"/>
      <w:szCs w:val="96"/>
    </w:rPr>
  </w:style>
  <w:style w:type="paragraph" w:customStyle="1" w:styleId="13">
    <w:name w:val="※封面题颌"/>
    <w:basedOn w:val="1"/>
    <w:next w:val="1"/>
    <w:qFormat/>
    <w:uiPriority w:val="0"/>
    <w:pPr>
      <w:widowControl/>
      <w:jc w:val="center"/>
    </w:pPr>
    <w:rPr>
      <w:rFonts w:ascii="Calibri Light" w:hAnsi="Calibri Light" w:eastAsia="华文仿宋"/>
      <w:sz w:val="36"/>
      <w:szCs w:val="36"/>
    </w:rPr>
  </w:style>
  <w:style w:type="paragraph" w:customStyle="1" w:styleId="14">
    <w:name w:val="※封面题眉"/>
    <w:basedOn w:val="1"/>
    <w:next w:val="12"/>
    <w:qFormat/>
    <w:uiPriority w:val="0"/>
    <w:pPr>
      <w:widowControl/>
      <w:jc w:val="center"/>
    </w:pPr>
    <w:rPr>
      <w:rFonts w:ascii="华文仿宋" w:hAnsi="华文仿宋" w:eastAsia="华文仿宋"/>
      <w:sz w:val="52"/>
      <w:szCs w:val="28"/>
    </w:rPr>
  </w:style>
  <w:style w:type="paragraph" w:customStyle="1" w:styleId="15">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6">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7">
    <w:name w:val="※目录（主）"/>
    <w:basedOn w:val="1"/>
    <w:qFormat/>
    <w:uiPriority w:val="0"/>
    <w:pPr>
      <w:widowControl/>
      <w:tabs>
        <w:tab w:val="right" w:leader="hyphen" w:pos="8400"/>
      </w:tabs>
      <w:spacing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8">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19">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0">
    <w:name w:val="※小标题 一"/>
    <w:basedOn w:val="19"/>
    <w:next w:val="19"/>
    <w:qFormat/>
    <w:uiPriority w:val="0"/>
    <w:pPr>
      <w:spacing w:before="120" w:line="240" w:lineRule="auto"/>
      <w:outlineLvl w:val="2"/>
    </w:pPr>
    <w:rPr>
      <w:b/>
      <w:color w:val="1F3864" w:themeColor="accent5" w:themeShade="80"/>
      <w:sz w:val="32"/>
    </w:rPr>
  </w:style>
  <w:style w:type="paragraph" w:customStyle="1" w:styleId="21">
    <w:name w:val="※小标题（1）"/>
    <w:basedOn w:val="1"/>
    <w:next w:val="19"/>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2">
    <w:name w:val="※小标题（一）"/>
    <w:basedOn w:val="1"/>
    <w:next w:val="19"/>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3">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4">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25">
    <w:name w:val="※页眉"/>
    <w:basedOn w:val="19"/>
    <w:qFormat/>
    <w:uiPriority w:val="0"/>
    <w:pPr>
      <w:pBdr>
        <w:bottom w:val="single" w:color="auto" w:sz="4" w:space="1"/>
      </w:pBdr>
      <w:spacing w:line="240" w:lineRule="atLeast"/>
      <w:jc w:val="right"/>
    </w:pPr>
    <w:rPr>
      <w:rFonts w:ascii="宋体" w:hAnsi="宋体" w:eastAsia="宋体"/>
      <w:sz w:val="18"/>
    </w:rPr>
  </w:style>
  <w:style w:type="paragraph" w:customStyle="1" w:styleId="26">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7">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28">
    <w:name w:val="※章节标题（第Z部分分项）"/>
    <w:basedOn w:val="27"/>
    <w:qFormat/>
    <w:uiPriority w:val="0"/>
    <w:pPr>
      <w:outlineLvl w:val="2"/>
    </w:pPr>
  </w:style>
  <w:style w:type="paragraph" w:customStyle="1" w:styleId="29">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0">
    <w:name w:val="※正文（缩进2）"/>
    <w:basedOn w:val="19"/>
    <w:qFormat/>
    <w:uiPriority w:val="0"/>
    <w:pPr>
      <w:ind w:firstLine="200" w:firstLineChars="200"/>
    </w:pPr>
  </w:style>
  <w:style w:type="paragraph" w:customStyle="1" w:styleId="31">
    <w:name w:val="※正文（缩进4）"/>
    <w:basedOn w:val="19"/>
    <w:qFormat/>
    <w:uiPriority w:val="0"/>
    <w:pPr>
      <w:ind w:firstLine="400" w:firstLineChars="400"/>
    </w:pPr>
  </w:style>
  <w:style w:type="paragraph" w:customStyle="1" w:styleId="32">
    <w:name w:val="样式"/>
    <w:link w:val="3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3">
    <w:name w:val="样式 Char Char"/>
    <w:link w:val="32"/>
    <w:qFormat/>
    <w:locked/>
    <w:uiPriority w:val="0"/>
    <w:rPr>
      <w:rFonts w:ascii="宋体" w:hAnsi="宋体" w:eastAsia="宋体" w:cs="宋体"/>
      <w:kern w:val="0"/>
      <w:sz w:val="24"/>
      <w:szCs w:val="24"/>
    </w:rPr>
  </w:style>
  <w:style w:type="character" w:customStyle="1" w:styleId="34">
    <w:name w:val="页眉 Char"/>
    <w:basedOn w:val="10"/>
    <w:link w:val="7"/>
    <w:qFormat/>
    <w:uiPriority w:val="99"/>
    <w:rPr>
      <w:rFonts w:ascii="Calibri" w:hAnsi="Calibri" w:eastAsia="宋体" w:cs="Times New Roman"/>
      <w:sz w:val="18"/>
      <w:szCs w:val="18"/>
    </w:rPr>
  </w:style>
  <w:style w:type="character" w:customStyle="1" w:styleId="35">
    <w:name w:val="页脚 Char"/>
    <w:basedOn w:val="10"/>
    <w:link w:val="6"/>
    <w:qFormat/>
    <w:uiPriority w:val="99"/>
    <w:rPr>
      <w:rFonts w:ascii="Calibri" w:hAnsi="Calibri" w:eastAsia="宋体" w:cs="Times New Roman"/>
      <w:sz w:val="18"/>
      <w:szCs w:val="18"/>
    </w:rPr>
  </w:style>
  <w:style w:type="character" w:customStyle="1" w:styleId="36">
    <w:name w:val="批注文字 Char"/>
    <w:basedOn w:val="10"/>
    <w:link w:val="3"/>
    <w:semiHidden/>
    <w:qFormat/>
    <w:uiPriority w:val="99"/>
    <w:rPr>
      <w:rFonts w:ascii="Calibri" w:hAnsi="Calibri" w:eastAsia="宋体" w:cs="Times New Roman"/>
    </w:rPr>
  </w:style>
  <w:style w:type="character" w:customStyle="1" w:styleId="37">
    <w:name w:val="批注主题 Char"/>
    <w:basedOn w:val="36"/>
    <w:link w:val="8"/>
    <w:semiHidden/>
    <w:qFormat/>
    <w:uiPriority w:val="99"/>
    <w:rPr>
      <w:rFonts w:ascii="Calibri" w:hAnsi="Calibri" w:eastAsia="宋体" w:cs="Times New Roman"/>
      <w:b/>
      <w:bCs/>
    </w:rPr>
  </w:style>
  <w:style w:type="character" w:customStyle="1" w:styleId="38">
    <w:name w:val="批注框文本 Char"/>
    <w:basedOn w:val="10"/>
    <w:link w:val="5"/>
    <w:semiHidden/>
    <w:qFormat/>
    <w:uiPriority w:val="99"/>
    <w:rPr>
      <w:rFonts w:ascii="Calibri" w:hAnsi="Calibri" w:eastAsia="宋体" w:cs="Times New Roman"/>
      <w:sz w:val="18"/>
      <w:szCs w:val="18"/>
    </w:rPr>
  </w:style>
  <w:style w:type="paragraph" w:styleId="39">
    <w:name w:val="List Paragraph"/>
    <w:basedOn w:val="1"/>
    <w:qFormat/>
    <w:uiPriority w:val="34"/>
    <w:pPr>
      <w:ind w:firstLine="420" w:firstLineChars="200"/>
    </w:pPr>
    <w:rPr>
      <w:rFonts w:asciiTheme="minorHAnsi" w:hAnsiTheme="minorHAnsi" w:eastAsiaTheme="minorEastAsia" w:cstheme="minorBidi"/>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14</Pages>
  <Words>2673</Words>
  <Characters>2895</Characters>
  <Lines>20</Lines>
  <Paragraphs>5</Paragraphs>
  <TotalTime>0</TotalTime>
  <ScaleCrop>false</ScaleCrop>
  <LinksUpToDate>false</LinksUpToDate>
  <CharactersWithSpaces>2931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2021-03-19T04:47:00Z</dcterms:created>
  <dc:creator>lenovo</dc:creator>
  <cp:lastModifiedBy>怯</cp:lastModifiedBy>
  <cp:lastPrinted>2021-03-24T02:37:00Z</cp:lastPrinted>
  <dcterms:modified xsi:type="dcterms:W3CDTF">2026-06-01T10:43:04Z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4A6535A0FCD8436E8785E7738A0E6D3F_12</vt:lpwstr>
  </property>
  <property fmtid="{D5CDD505-2E9C-101B-9397-08002B2CF9AE}" pid="4" name="KSOTemplateDocerSaveRecord">
    <vt:lpwstr>eyJoZGlkIjoiYzg3ZTY0NTE4Yjg3Njk5ZTIyZDVhOTdmY2UxYWQ2NzkiLCJ1c2VySWQiOiIyOTQ2NTA5ODcifQ==</vt:lpwstr>
  </property>
</Properties>
</file>