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43B47">
      <w:pPr>
        <w:spacing w:line="960" w:lineRule="auto"/>
        <w:jc w:val="center"/>
        <w:rPr>
          <w:rFonts w:hint="eastAsia" w:ascii="仿宋" w:hAnsi="仿宋" w:eastAsia="仿宋" w:cs="宋体"/>
          <w:b/>
          <w:color w:val="000000" w:themeColor="text1"/>
          <w:sz w:val="48"/>
          <w:szCs w:val="48"/>
          <w14:textFill>
            <w14:solidFill>
              <w14:schemeClr w14:val="tx1"/>
            </w14:solidFill>
          </w14:textFill>
        </w:rPr>
      </w:pPr>
    </w:p>
    <w:p w14:paraId="7CC3E201">
      <w:pPr>
        <w:spacing w:line="960" w:lineRule="auto"/>
        <w:jc w:val="center"/>
        <w:rPr>
          <w:rFonts w:ascii="仿宋" w:hAnsi="仿宋" w:eastAsia="仿宋" w:cs="宋体"/>
          <w:b/>
          <w:color w:val="000000" w:themeColor="text1"/>
          <w:sz w:val="48"/>
          <w:szCs w:val="48"/>
          <w14:textFill>
            <w14:solidFill>
              <w14:schemeClr w14:val="tx1"/>
            </w14:solidFill>
          </w14:textFill>
        </w:rPr>
      </w:pPr>
      <w:r>
        <w:rPr>
          <w:rFonts w:hint="eastAsia" w:ascii="仿宋" w:hAnsi="仿宋" w:eastAsia="仿宋" w:cs="宋体"/>
          <w:b/>
          <w:color w:val="000000" w:themeColor="text1"/>
          <w:sz w:val="48"/>
          <w:szCs w:val="48"/>
          <w14:textFill>
            <w14:solidFill>
              <w14:schemeClr w14:val="tx1"/>
            </w14:solidFill>
          </w14:textFill>
        </w:rPr>
        <w:t>西安航天城</w:t>
      </w:r>
      <w:r>
        <w:rPr>
          <w:rFonts w:hint="eastAsia" w:ascii="仿宋" w:hAnsi="仿宋" w:eastAsia="仿宋" w:cs="宋体"/>
          <w:b/>
          <w:color w:val="000000" w:themeColor="text1"/>
          <w:sz w:val="48"/>
          <w:szCs w:val="48"/>
          <w:lang w:val="en-US" w:eastAsia="zh-CN"/>
          <w14:textFill>
            <w14:solidFill>
              <w14:schemeClr w14:val="tx1"/>
            </w14:solidFill>
          </w14:textFill>
        </w:rPr>
        <w:t>第二中学</w:t>
      </w:r>
      <w:r>
        <w:rPr>
          <w:rFonts w:hint="eastAsia" w:ascii="仿宋" w:hAnsi="仿宋" w:eastAsia="仿宋" w:cs="宋体"/>
          <w:b/>
          <w:color w:val="000000" w:themeColor="text1"/>
          <w:sz w:val="48"/>
          <w:szCs w:val="48"/>
          <w14:textFill>
            <w14:solidFill>
              <w14:schemeClr w14:val="tx1"/>
            </w14:solidFill>
          </w14:textFill>
        </w:rPr>
        <w:t>餐厅运转保障项目</w:t>
      </w:r>
    </w:p>
    <w:p w14:paraId="3F796951">
      <w:pPr>
        <w:spacing w:line="960" w:lineRule="auto"/>
        <w:jc w:val="center"/>
        <w:rPr>
          <w:rFonts w:ascii="仿宋" w:hAnsi="仿宋" w:eastAsia="仿宋" w:cs="宋体"/>
          <w:b/>
          <w:bCs/>
          <w:sz w:val="96"/>
          <w:szCs w:val="96"/>
        </w:rPr>
      </w:pPr>
      <w:r>
        <w:rPr>
          <w:rFonts w:hint="eastAsia" w:ascii="仿宋" w:hAnsi="仿宋" w:eastAsia="仿宋" w:cs="宋体"/>
          <w:b/>
          <w:color w:val="000000" w:themeColor="text1"/>
          <w:sz w:val="48"/>
          <w:szCs w:val="48"/>
          <w14:textFill>
            <w14:solidFill>
              <w14:schemeClr w14:val="tx1"/>
            </w14:solidFill>
          </w14:textFill>
        </w:rPr>
        <w:t>承包合</w:t>
      </w:r>
      <w:r>
        <w:rPr>
          <w:rFonts w:hint="eastAsia" w:ascii="仿宋" w:hAnsi="仿宋" w:eastAsia="仿宋" w:cs="宋体"/>
          <w:b/>
          <w:sz w:val="48"/>
          <w:szCs w:val="48"/>
        </w:rPr>
        <w:t>同</w:t>
      </w:r>
    </w:p>
    <w:p w14:paraId="7A6E1B58"/>
    <w:p w14:paraId="626BC6C0"/>
    <w:p w14:paraId="12D099AF">
      <w:pPr>
        <w:spacing w:line="360" w:lineRule="auto"/>
        <w:rPr>
          <w:rFonts w:ascii="仿宋" w:hAnsi="仿宋" w:eastAsia="仿宋" w:cs="宋体"/>
        </w:rPr>
      </w:pPr>
    </w:p>
    <w:p w14:paraId="65557D1D">
      <w:pPr>
        <w:spacing w:line="360" w:lineRule="auto"/>
        <w:rPr>
          <w:rFonts w:ascii="仿宋" w:hAnsi="仿宋" w:eastAsia="仿宋" w:cs="宋体"/>
        </w:rPr>
      </w:pPr>
    </w:p>
    <w:p w14:paraId="041D833D">
      <w:pPr>
        <w:spacing w:line="360" w:lineRule="auto"/>
        <w:rPr>
          <w:rFonts w:ascii="仿宋" w:hAnsi="仿宋" w:eastAsia="仿宋" w:cs="宋体"/>
        </w:rPr>
      </w:pPr>
    </w:p>
    <w:p w14:paraId="4DFEA14F">
      <w:pPr>
        <w:spacing w:line="360" w:lineRule="auto"/>
        <w:rPr>
          <w:rFonts w:ascii="仿宋" w:hAnsi="仿宋" w:eastAsia="仿宋" w:cs="宋体"/>
        </w:rPr>
      </w:pPr>
    </w:p>
    <w:p w14:paraId="30BF1ED3">
      <w:pPr>
        <w:spacing w:line="360" w:lineRule="auto"/>
        <w:rPr>
          <w:rFonts w:ascii="仿宋" w:hAnsi="仿宋" w:eastAsia="仿宋" w:cs="宋体"/>
        </w:rPr>
      </w:pPr>
    </w:p>
    <w:p w14:paraId="1E227331">
      <w:pPr>
        <w:spacing w:line="360" w:lineRule="auto"/>
        <w:rPr>
          <w:rFonts w:ascii="仿宋" w:hAnsi="仿宋" w:eastAsia="仿宋" w:cs="宋体"/>
        </w:rPr>
      </w:pPr>
    </w:p>
    <w:p w14:paraId="77545380">
      <w:pPr>
        <w:spacing w:line="360" w:lineRule="auto"/>
        <w:rPr>
          <w:rFonts w:ascii="仿宋" w:hAnsi="仿宋" w:eastAsia="仿宋" w:cs="宋体"/>
        </w:rPr>
      </w:pPr>
    </w:p>
    <w:p w14:paraId="22CC953E">
      <w:pPr>
        <w:spacing w:line="360" w:lineRule="auto"/>
        <w:rPr>
          <w:rFonts w:ascii="仿宋" w:hAnsi="仿宋" w:eastAsia="仿宋" w:cs="宋体"/>
        </w:rPr>
      </w:pPr>
    </w:p>
    <w:p w14:paraId="61004250">
      <w:pPr>
        <w:spacing w:line="360" w:lineRule="auto"/>
        <w:rPr>
          <w:rFonts w:ascii="仿宋" w:hAnsi="仿宋" w:eastAsia="仿宋" w:cs="宋体"/>
          <w:sz w:val="28"/>
          <w:szCs w:val="21"/>
        </w:rPr>
      </w:pPr>
    </w:p>
    <w:p w14:paraId="47322C2D">
      <w:pPr>
        <w:spacing w:line="360" w:lineRule="auto"/>
        <w:ind w:firstLine="2880" w:firstLineChars="900"/>
        <w:jc w:val="left"/>
        <w:rPr>
          <w:rFonts w:ascii="仿宋" w:hAnsi="仿宋" w:eastAsia="仿宋" w:cs="宋体"/>
          <w:sz w:val="32"/>
          <w:szCs w:val="32"/>
          <w:u w:val="single"/>
        </w:rPr>
      </w:pPr>
      <w:r>
        <w:rPr>
          <w:rFonts w:hint="eastAsia" w:ascii="仿宋" w:hAnsi="仿宋" w:eastAsia="仿宋" w:cs="宋体"/>
          <w:sz w:val="32"/>
          <w:szCs w:val="32"/>
        </w:rPr>
        <w:t>甲方：</w:t>
      </w:r>
      <w:r>
        <w:rPr>
          <w:rFonts w:hint="eastAsia" w:ascii="仿宋" w:hAnsi="仿宋" w:eastAsia="仿宋" w:cs="宋体"/>
          <w:sz w:val="32"/>
          <w:szCs w:val="32"/>
          <w:u w:val="single"/>
        </w:rPr>
        <w:t>西安航天城</w:t>
      </w:r>
      <w:r>
        <w:rPr>
          <w:rFonts w:hint="eastAsia" w:ascii="仿宋" w:hAnsi="仿宋" w:eastAsia="仿宋" w:cs="宋体"/>
          <w:sz w:val="32"/>
          <w:szCs w:val="32"/>
          <w:u w:val="single"/>
          <w:lang w:val="en-US" w:eastAsia="zh-CN"/>
        </w:rPr>
        <w:t>第二中学</w:t>
      </w:r>
    </w:p>
    <w:p w14:paraId="0F5959A1">
      <w:pPr>
        <w:spacing w:line="360" w:lineRule="auto"/>
        <w:ind w:firstLine="2880" w:firstLineChars="900"/>
        <w:jc w:val="left"/>
        <w:rPr>
          <w:rFonts w:hint="default" w:ascii="仿宋" w:hAnsi="仿宋" w:eastAsia="仿宋" w:cs="宋体"/>
          <w:sz w:val="32"/>
          <w:szCs w:val="32"/>
          <w:u w:val="single"/>
          <w:lang w:val="en-US" w:eastAsia="zh-CN"/>
        </w:rPr>
      </w:pPr>
      <w:r>
        <w:rPr>
          <w:rFonts w:hint="eastAsia" w:ascii="仿宋" w:hAnsi="仿宋" w:eastAsia="仿宋" w:cs="宋体"/>
          <w:sz w:val="32"/>
          <w:szCs w:val="32"/>
        </w:rPr>
        <w:t>乙方：</w:t>
      </w:r>
      <w:r>
        <w:rPr>
          <w:rFonts w:hint="eastAsia" w:ascii="仿宋" w:hAnsi="仿宋" w:eastAsia="仿宋" w:cs="宋体"/>
          <w:sz w:val="32"/>
          <w:szCs w:val="32"/>
          <w:u w:val="single"/>
          <w:lang w:val="en-US" w:eastAsia="zh-CN"/>
        </w:rPr>
        <w:t xml:space="preserve">                 </w:t>
      </w:r>
    </w:p>
    <w:p w14:paraId="3B7D322E">
      <w:pPr>
        <w:spacing w:line="360" w:lineRule="auto"/>
        <w:ind w:firstLine="2880" w:firstLineChars="900"/>
        <w:jc w:val="both"/>
        <w:rPr>
          <w:rFonts w:ascii="仿宋" w:hAnsi="仿宋" w:eastAsia="仿宋" w:cs="宋体"/>
          <w:sz w:val="32"/>
          <w:szCs w:val="32"/>
        </w:rPr>
        <w:sectPr>
          <w:headerReference r:id="rId3" w:type="default"/>
          <w:pgSz w:w="11906" w:h="16838"/>
          <w:pgMar w:top="1134" w:right="1134" w:bottom="1134" w:left="1247" w:header="737" w:footer="992" w:gutter="0"/>
          <w:pgNumType w:start="1"/>
          <w:cols w:space="720" w:num="1"/>
          <w:docGrid w:type="lines" w:linePitch="312" w:charSpace="0"/>
        </w:sectPr>
      </w:pPr>
      <w:r>
        <w:rPr>
          <w:rFonts w:hint="eastAsia" w:ascii="仿宋" w:hAnsi="仿宋" w:eastAsia="仿宋" w:cs="宋体"/>
          <w:sz w:val="32"/>
          <w:szCs w:val="32"/>
        </w:rPr>
        <w:t>签约时间：</w:t>
      </w:r>
      <w:r>
        <w:rPr>
          <w:rFonts w:hint="eastAsia" w:ascii="仿宋" w:hAnsi="仿宋" w:eastAsia="仿宋" w:cs="宋体"/>
          <w:sz w:val="32"/>
          <w:szCs w:val="32"/>
          <w:u w:val="single"/>
          <w:lang w:val="en-US" w:eastAsia="zh-CN"/>
        </w:rPr>
        <w:t xml:space="preserve">    </w:t>
      </w:r>
      <w:r>
        <w:rPr>
          <w:rFonts w:hint="eastAsia" w:ascii="仿宋" w:hAnsi="仿宋" w:eastAsia="仿宋" w:cs="宋体"/>
          <w:sz w:val="32"/>
          <w:szCs w:val="32"/>
        </w:rPr>
        <w:t>年</w:t>
      </w:r>
      <w:r>
        <w:rPr>
          <w:rFonts w:hint="eastAsia" w:ascii="仿宋" w:hAnsi="仿宋" w:eastAsia="仿宋" w:cs="宋体"/>
          <w:sz w:val="32"/>
          <w:szCs w:val="32"/>
          <w:u w:val="single"/>
          <w:lang w:val="en-US" w:eastAsia="zh-CN"/>
        </w:rPr>
        <w:t xml:space="preserve">    </w:t>
      </w:r>
      <w:r>
        <w:rPr>
          <w:rFonts w:hint="eastAsia" w:ascii="仿宋" w:hAnsi="仿宋" w:eastAsia="仿宋" w:cs="宋体"/>
          <w:sz w:val="32"/>
          <w:szCs w:val="32"/>
        </w:rPr>
        <w:t>月</w:t>
      </w:r>
      <w:r>
        <w:rPr>
          <w:rFonts w:hint="eastAsia" w:ascii="仿宋" w:hAnsi="仿宋" w:eastAsia="仿宋" w:cs="宋体"/>
          <w:sz w:val="32"/>
          <w:szCs w:val="32"/>
          <w:u w:val="single"/>
          <w:lang w:val="en-US" w:eastAsia="zh-CN"/>
        </w:rPr>
        <w:t xml:space="preserve">    </w:t>
      </w:r>
      <w:r>
        <w:rPr>
          <w:rFonts w:hint="eastAsia" w:ascii="仿宋" w:hAnsi="仿宋" w:eastAsia="仿宋" w:cs="宋体"/>
          <w:sz w:val="32"/>
          <w:szCs w:val="32"/>
        </w:rPr>
        <w:t>日</w:t>
      </w:r>
    </w:p>
    <w:p w14:paraId="308B22BB">
      <w:pPr>
        <w:snapToGrid w:val="0"/>
        <w:spacing w:line="360" w:lineRule="auto"/>
        <w:ind w:firstLine="420" w:firstLineChars="200"/>
        <w:rPr>
          <w:rFonts w:hint="eastAsia" w:ascii="仿宋" w:hAnsi="仿宋" w:eastAsia="仿宋" w:cs="仿宋"/>
          <w:highlight w:val="none"/>
        </w:rPr>
      </w:pPr>
    </w:p>
    <w:p w14:paraId="28066E00">
      <w:pPr>
        <w:snapToGrid w:val="0"/>
        <w:spacing w:line="360" w:lineRule="auto"/>
        <w:ind w:firstLine="420" w:firstLineChars="200"/>
        <w:rPr>
          <w:rFonts w:ascii="仿宋" w:hAnsi="仿宋" w:eastAsia="仿宋" w:cs="仿宋"/>
          <w:sz w:val="24"/>
          <w:highlight w:val="none"/>
          <w:u w:val="single"/>
        </w:rPr>
      </w:pPr>
      <w:r>
        <w:rPr>
          <w:rFonts w:hint="eastAsia" w:ascii="仿宋" w:hAnsi="仿宋" w:eastAsia="仿宋" w:cs="仿宋"/>
          <w:highlight w:val="none"/>
        </w:rPr>
        <w:t xml:space="preserve"> </w:t>
      </w:r>
      <w:r>
        <w:rPr>
          <w:rFonts w:hint="eastAsia" w:ascii="仿宋" w:hAnsi="仿宋" w:eastAsia="仿宋" w:cs="仿宋"/>
          <w:sz w:val="24"/>
          <w:highlight w:val="none"/>
        </w:rPr>
        <w:t xml:space="preserve">甲方 </w:t>
      </w:r>
      <w:r>
        <w:rPr>
          <w:highlight w:val="none"/>
        </w:rPr>
        <w:fldChar w:fldCharType="begin"/>
      </w:r>
      <w:r>
        <w:rPr>
          <w:highlight w:val="none"/>
        </w:rPr>
        <w:instrText xml:space="preserve"> HYPERLINK "http://set2.mail.qq.com/cgi-bin/mail_spam?action=check_link&amp;spam=0&amp;url=http%3A%2F%2Fwww%2Ebaidu%2Ecom%2Fs%3Fwd%3D%25E9%2587%2587%25E8%25B4%25AD%25E5%258D%2595%26hl_tag%3Dtextlink%26tn%3DSE_hldp01350_v6v6zkg6" </w:instrText>
      </w:r>
      <w:r>
        <w:rPr>
          <w:highlight w:val="none"/>
        </w:rPr>
        <w:fldChar w:fldCharType="separate"/>
      </w:r>
      <w:r>
        <w:rPr>
          <w:rFonts w:hint="eastAsia" w:ascii="仿宋" w:hAnsi="仿宋" w:eastAsia="仿宋" w:cs="仿宋"/>
          <w:sz w:val="24"/>
          <w:highlight w:val="none"/>
        </w:rPr>
        <w:t>(采购人)</w:t>
      </w:r>
      <w:r>
        <w:rPr>
          <w:rFonts w:hint="eastAsia" w:ascii="仿宋" w:hAnsi="仿宋" w:eastAsia="仿宋" w:cs="仿宋"/>
          <w:sz w:val="24"/>
          <w:highlight w:val="none"/>
        </w:rPr>
        <w:fldChar w:fldCharType="end"/>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p w14:paraId="19B6AB80">
      <w:pPr>
        <w:snapToGrid w:val="0"/>
        <w:spacing w:line="360" w:lineRule="auto"/>
        <w:ind w:firstLine="630" w:firstLineChars="300"/>
        <w:rPr>
          <w:rFonts w:ascii="仿宋" w:hAnsi="仿宋" w:eastAsia="仿宋" w:cs="仿宋"/>
          <w:sz w:val="24"/>
          <w:highlight w:val="none"/>
          <w:u w:val="single"/>
        </w:rPr>
      </w:pPr>
      <w:bookmarkStart w:id="0" w:name="_GoBack"/>
      <w:bookmarkEnd w:id="0"/>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sz w:val="24"/>
          <w:highlight w:val="none"/>
        </w:rPr>
        <w:t>乙方</w:t>
      </w:r>
      <w:r>
        <w:rPr>
          <w:rFonts w:hint="eastAsia" w:ascii="仿宋" w:hAnsi="仿宋" w:eastAsia="仿宋" w:cs="仿宋"/>
          <w:sz w:val="24"/>
          <w:highlight w:val="none"/>
        </w:rPr>
        <w:fldChar w:fldCharType="end"/>
      </w:r>
      <w:r>
        <w:rPr>
          <w:rFonts w:hint="eastAsia" w:ascii="仿宋" w:hAnsi="仿宋" w:eastAsia="仿宋" w:cs="仿宋"/>
          <w:sz w:val="24"/>
          <w:highlight w:val="none"/>
        </w:rPr>
        <w:t xml:space="preserve">(供应商)： </w:t>
      </w:r>
      <w:r>
        <w:rPr>
          <w:rFonts w:hint="eastAsia" w:ascii="仿宋" w:hAnsi="仿宋" w:eastAsia="仿宋" w:cs="仿宋"/>
          <w:sz w:val="24"/>
          <w:highlight w:val="none"/>
          <w:u w:val="single"/>
        </w:rPr>
        <w:t xml:space="preserve">                               </w:t>
      </w:r>
    </w:p>
    <w:p w14:paraId="56D1DAB6">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甲乙双方根据</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政府采购项目第</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号采购结果及相关</w:t>
      </w:r>
      <w:r>
        <w:rPr>
          <w:rFonts w:hint="eastAsia" w:ascii="仿宋" w:hAnsi="仿宋" w:eastAsia="仿宋" w:cs="仿宋"/>
          <w:sz w:val="24"/>
          <w:highlight w:val="none"/>
          <w:lang w:val="en-US" w:eastAsia="zh-CN"/>
        </w:rPr>
        <w:t>招标</w:t>
      </w:r>
      <w:r>
        <w:rPr>
          <w:rFonts w:hint="eastAsia" w:ascii="仿宋" w:hAnsi="仿宋" w:eastAsia="仿宋" w:cs="仿宋"/>
          <w:sz w:val="24"/>
          <w:highlight w:val="none"/>
        </w:rPr>
        <w:t>文件及</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文件， 本合同经双方友好协商平等、诚信、协作的 原则， 按照《中华人民共和国政府采购法》和《中华人民共和国民法典》经协商一致，订立本合同，供双方共同遵守：</w:t>
      </w:r>
    </w:p>
    <w:p w14:paraId="4BC05075">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第一条、项目概况</w:t>
      </w:r>
    </w:p>
    <w:p w14:paraId="2BDB7844">
      <w:pPr>
        <w:snapToGrid w:val="0"/>
        <w:spacing w:line="360" w:lineRule="auto"/>
        <w:ind w:firstLine="480" w:firstLineChars="200"/>
        <w:rPr>
          <w:rFonts w:ascii="仿宋" w:hAnsi="仿宋" w:eastAsia="仿宋" w:cs="仿宋"/>
          <w:sz w:val="24"/>
          <w:szCs w:val="24"/>
          <w:highlight w:val="none"/>
          <w:u w:val="single"/>
        </w:rPr>
      </w:pPr>
      <w:r>
        <w:rPr>
          <w:rFonts w:hint="eastAsia" w:ascii="仿宋" w:hAnsi="仿宋" w:eastAsia="仿宋" w:cs="仿宋"/>
          <w:sz w:val="24"/>
          <w:highlight w:val="none"/>
        </w:rPr>
        <w:t>1、</w:t>
      </w:r>
      <w:r>
        <w:rPr>
          <w:rFonts w:hint="eastAsia" w:ascii="仿宋" w:hAnsi="仿宋" w:eastAsia="仿宋" w:cs="仿宋"/>
          <w:sz w:val="24"/>
          <w:szCs w:val="24"/>
          <w:highlight w:val="none"/>
        </w:rPr>
        <w:t>服务地点：</w:t>
      </w:r>
      <w:r>
        <w:rPr>
          <w:rFonts w:hint="eastAsia" w:ascii="仿宋" w:hAnsi="仿宋" w:eastAsia="仿宋" w:cs="仿宋"/>
          <w:sz w:val="24"/>
          <w:szCs w:val="24"/>
          <w:highlight w:val="none"/>
          <w:u w:val="single"/>
        </w:rPr>
        <w:t xml:space="preserve">  甲方指定地点   </w:t>
      </w:r>
    </w:p>
    <w:p w14:paraId="1DA1816D">
      <w:pPr>
        <w:snapToGrid w:val="0"/>
        <w:spacing w:line="360" w:lineRule="auto"/>
        <w:ind w:firstLine="480" w:firstLineChars="200"/>
        <w:rPr>
          <w:rFonts w:ascii="仿宋" w:hAnsi="仿宋" w:eastAsia="仿宋" w:cs="仿宋"/>
          <w:sz w:val="24"/>
          <w:szCs w:val="24"/>
          <w:highlight w:val="none"/>
          <w:u w:val="single"/>
        </w:rPr>
      </w:pPr>
      <w:r>
        <w:rPr>
          <w:rFonts w:hint="eastAsia" w:ascii="仿宋" w:hAnsi="仿宋" w:eastAsia="仿宋" w:cs="仿宋"/>
          <w:sz w:val="24"/>
          <w:szCs w:val="24"/>
          <w:highlight w:val="none"/>
        </w:rPr>
        <w:t xml:space="preserve">2、服务内容：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u w:val="single"/>
          <w:lang w:val="en-US" w:eastAsia="zh-CN"/>
        </w:rPr>
        <w:t>提供</w:t>
      </w:r>
      <w:r>
        <w:rPr>
          <w:rFonts w:hint="eastAsia" w:ascii="仿宋" w:hAnsi="仿宋" w:eastAsia="仿宋" w:cs="仿宋"/>
          <w:sz w:val="24"/>
          <w:szCs w:val="24"/>
          <w:u w:val="single"/>
        </w:rPr>
        <w:t>西安航天城第二</w:t>
      </w:r>
      <w:r>
        <w:rPr>
          <w:rFonts w:hint="eastAsia" w:ascii="仿宋" w:hAnsi="仿宋" w:eastAsia="仿宋" w:cs="仿宋"/>
          <w:sz w:val="24"/>
          <w:szCs w:val="24"/>
          <w:u w:val="single"/>
          <w:lang w:val="en-US" w:eastAsia="zh-CN"/>
        </w:rPr>
        <w:t>中学</w:t>
      </w:r>
      <w:r>
        <w:rPr>
          <w:rFonts w:hint="eastAsia" w:ascii="仿宋" w:hAnsi="仿宋" w:eastAsia="仿宋" w:cs="仿宋"/>
          <w:sz w:val="24"/>
          <w:szCs w:val="24"/>
          <w:u w:val="single"/>
        </w:rPr>
        <w:t>教职工餐饮</w:t>
      </w:r>
      <w:r>
        <w:rPr>
          <w:rFonts w:hint="eastAsia" w:ascii="仿宋" w:hAnsi="仿宋" w:eastAsia="仿宋" w:cs="仿宋"/>
          <w:sz w:val="24"/>
          <w:szCs w:val="24"/>
          <w:u w:val="single"/>
          <w:lang w:val="en-US" w:eastAsia="zh-CN"/>
        </w:rPr>
        <w:t>用餐</w:t>
      </w:r>
      <w:r>
        <w:rPr>
          <w:rFonts w:hint="eastAsia" w:ascii="仿宋" w:hAnsi="仿宋" w:eastAsia="仿宋" w:cs="仿宋"/>
          <w:sz w:val="24"/>
          <w:szCs w:val="24"/>
          <w:u w:val="single"/>
        </w:rPr>
        <w:t>服务事项</w:t>
      </w:r>
      <w:r>
        <w:rPr>
          <w:rFonts w:hint="eastAsia" w:ascii="仿宋" w:hAnsi="仿宋" w:eastAsia="仿宋" w:cs="仿宋"/>
          <w:sz w:val="24"/>
          <w:szCs w:val="24"/>
          <w:highlight w:val="none"/>
          <w:u w:val="single"/>
        </w:rPr>
        <w:t xml:space="preserve">  </w:t>
      </w:r>
    </w:p>
    <w:p w14:paraId="57EEF954">
      <w:pPr>
        <w:snapToGrid w:val="0"/>
        <w:spacing w:line="360" w:lineRule="auto"/>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3、经营模式：</w:t>
      </w:r>
      <w:r>
        <w:rPr>
          <w:rFonts w:hint="eastAsia" w:ascii="仿宋" w:hAnsi="仿宋" w:eastAsia="仿宋" w:cs="仿宋"/>
          <w:sz w:val="24"/>
          <w:szCs w:val="24"/>
          <w:u w:val="single"/>
        </w:rPr>
        <w:t>对外承包</w:t>
      </w:r>
      <w:r>
        <w:rPr>
          <w:rFonts w:hint="eastAsia" w:ascii="仿宋" w:hAnsi="仿宋" w:eastAsia="仿宋" w:cs="仿宋"/>
          <w:sz w:val="24"/>
          <w:szCs w:val="24"/>
          <w:highlight w:val="none"/>
          <w:u w:val="single"/>
          <w:lang w:val="en-US" w:eastAsia="zh-CN"/>
        </w:rPr>
        <w:t xml:space="preserve">  </w:t>
      </w:r>
    </w:p>
    <w:p w14:paraId="05DFF757">
      <w:pPr>
        <w:snapToGrid w:val="0"/>
        <w:spacing w:line="360" w:lineRule="auto"/>
        <w:ind w:firstLine="480" w:firstLineChars="200"/>
        <w:rPr>
          <w:rFonts w:ascii="仿宋" w:hAnsi="仿宋" w:eastAsia="仿宋" w:cs="仿宋"/>
          <w:sz w:val="24"/>
          <w:szCs w:val="24"/>
          <w:highlight w:val="none"/>
          <w:u w:val="single"/>
        </w:rPr>
      </w:pPr>
      <w:r>
        <w:rPr>
          <w:rFonts w:hint="eastAsia" w:ascii="仿宋" w:hAnsi="仿宋" w:eastAsia="仿宋" w:cs="仿宋"/>
          <w:sz w:val="24"/>
          <w:szCs w:val="24"/>
          <w:highlight w:val="none"/>
        </w:rPr>
        <w:t>4、服务期限</w:t>
      </w:r>
      <w:r>
        <w:rPr>
          <w:rFonts w:hint="eastAsia" w:ascii="仿宋" w:hAnsi="仿宋" w:eastAsia="仿宋" w:cs="仿宋"/>
          <w:sz w:val="24"/>
          <w:szCs w:val="24"/>
          <w:highlight w:val="none"/>
          <w:u w:val="none"/>
        </w:rPr>
        <w:t>：</w:t>
      </w:r>
      <w:r>
        <w:rPr>
          <w:rFonts w:hint="eastAsia" w:ascii="仿宋" w:hAnsi="仿宋" w:eastAsia="仿宋" w:cs="仿宋"/>
          <w:sz w:val="24"/>
          <w:szCs w:val="24"/>
          <w:u w:val="single"/>
          <w:lang w:val="en-US" w:eastAsia="zh-CN"/>
        </w:rPr>
        <w:t>合同签订之日到2027年6月30日，据实结算。</w:t>
      </w:r>
    </w:p>
    <w:p w14:paraId="7C2086B0">
      <w:pPr>
        <w:snapToGrid w:val="0"/>
        <w:spacing w:line="360" w:lineRule="auto"/>
        <w:ind w:firstLine="480" w:firstLineChars="200"/>
        <w:rPr>
          <w:rFonts w:ascii="仿宋" w:hAnsi="仿宋" w:eastAsia="仿宋" w:cs="仿宋"/>
          <w:sz w:val="24"/>
          <w:szCs w:val="24"/>
          <w:highlight w:val="none"/>
          <w:u w:val="single"/>
        </w:rPr>
      </w:pPr>
      <w:r>
        <w:rPr>
          <w:rFonts w:hint="eastAsia" w:ascii="仿宋" w:hAnsi="仿宋" w:eastAsia="仿宋" w:cs="仿宋"/>
          <w:sz w:val="24"/>
          <w:szCs w:val="24"/>
          <w:highlight w:val="none"/>
        </w:rPr>
        <w:t>5、服务质量标准：</w:t>
      </w:r>
      <w:r>
        <w:rPr>
          <w:rFonts w:hint="eastAsia" w:ascii="仿宋" w:hAnsi="仿宋" w:eastAsia="仿宋" w:cs="仿宋"/>
          <w:sz w:val="24"/>
          <w:szCs w:val="24"/>
          <w:highlight w:val="none"/>
          <w:u w:val="single"/>
        </w:rPr>
        <w:t xml:space="preserve"> 完全满足采购人的要求。</w:t>
      </w:r>
    </w:p>
    <w:p w14:paraId="06DC1616">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第二条  合同价款及付款方式</w:t>
      </w:r>
    </w:p>
    <w:p w14:paraId="4447FF1E">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1、合同总价为：人民币（大写）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元，（小写）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1912F36C">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合同价款包括但不限于含人员工资、设施设备采购、日常易耗品、日常维修、水电气等其它费用。</w:t>
      </w:r>
    </w:p>
    <w:p w14:paraId="071141B1">
      <w:pPr>
        <w:snapToGrid w:val="0"/>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2、付款方式：每月核对一次就餐次数，按季度付款，</w:t>
      </w:r>
      <w:r>
        <w:rPr>
          <w:rFonts w:hint="eastAsia" w:ascii="仿宋" w:hAnsi="仿宋" w:eastAsia="仿宋" w:cs="仿宋"/>
          <w:sz w:val="24"/>
          <w:highlight w:val="none"/>
          <w:lang w:eastAsia="zh-CN"/>
        </w:rPr>
        <w:t>据实结算，</w:t>
      </w:r>
      <w:r>
        <w:rPr>
          <w:rFonts w:hint="eastAsia" w:ascii="仿宋" w:hAnsi="仿宋" w:eastAsia="仿宋" w:cs="仿宋"/>
          <w:sz w:val="24"/>
          <w:highlight w:val="none"/>
        </w:rPr>
        <w:t>付款方式为转账支付。付款前，乙方应提供等额有效发票，达到付款条件起 1</w:t>
      </w:r>
      <w:r>
        <w:rPr>
          <w:rFonts w:hint="eastAsia" w:ascii="仿宋" w:hAnsi="仿宋" w:eastAsia="仿宋" w:cs="仿宋"/>
          <w:sz w:val="24"/>
          <w:highlight w:val="none"/>
          <w:lang w:val="en-US" w:eastAsia="zh-CN"/>
        </w:rPr>
        <w:t>0</w:t>
      </w:r>
      <w:r>
        <w:rPr>
          <w:rFonts w:hint="eastAsia" w:ascii="仿宋" w:hAnsi="仿宋" w:eastAsia="仿宋" w:cs="仿宋"/>
          <w:sz w:val="24"/>
          <w:highlight w:val="none"/>
        </w:rPr>
        <w:t xml:space="preserve"> 日内，支付合同总金额的 100.00%</w:t>
      </w:r>
      <w:r>
        <w:rPr>
          <w:rFonts w:hint="eastAsia" w:ascii="仿宋" w:hAnsi="仿宋" w:eastAsia="仿宋" w:cs="仿宋"/>
          <w:sz w:val="24"/>
          <w:highlight w:val="none"/>
          <w:lang w:eastAsia="zh-CN"/>
        </w:rPr>
        <w:t>。</w:t>
      </w:r>
    </w:p>
    <w:p w14:paraId="3C11D368">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lang w:val="en-US" w:eastAsia="zh-CN"/>
        </w:rPr>
        <w:t>甲方用餐人数约为273人，乙方须提供一日三餐用餐服务，餐标为：880元/人/月，每月按22天计算，费用据实结算，若后续有新招聘教师，也由中标单位向新招聘教师提供同餐标的用餐服务</w:t>
      </w:r>
      <w:r>
        <w:rPr>
          <w:rFonts w:hint="eastAsia" w:ascii="仿宋" w:hAnsi="仿宋" w:eastAsia="仿宋" w:cs="仿宋"/>
          <w:sz w:val="24"/>
          <w:highlight w:val="none"/>
        </w:rPr>
        <w:t>。</w:t>
      </w:r>
    </w:p>
    <w:p w14:paraId="12E807CA">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3、付款依据： 合同、甲方出具的验收报告和乙方提供的发票</w:t>
      </w:r>
    </w:p>
    <w:p w14:paraId="6A7F7D0A">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户名：</w:t>
      </w:r>
    </w:p>
    <w:p w14:paraId="37ECCC5D">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纳税人识别号：</w:t>
      </w:r>
    </w:p>
    <w:p w14:paraId="1268DC90">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开户行：</w:t>
      </w:r>
    </w:p>
    <w:p w14:paraId="5BE22C72">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账号：</w:t>
      </w:r>
    </w:p>
    <w:p w14:paraId="0ECFEABB">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第三条  就餐模式及餐标</w:t>
      </w:r>
    </w:p>
    <w:p w14:paraId="596CCF30">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1、就餐形式：以实际提供为准</w:t>
      </w:r>
    </w:p>
    <w:p w14:paraId="3E555AAD">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2、合作方式：对外承包。</w:t>
      </w:r>
    </w:p>
    <w:p w14:paraId="6B846A73">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（1）由甲方按本合同约定向乙方支付承包费及甲方人员就餐的费用；</w:t>
      </w:r>
    </w:p>
    <w:p w14:paraId="51F4A22E">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餐厅整体运营工作乙方全部负责，由乙方负责餐厅人员招聘、录用、低值易耗品及日常行政管理等具体运营工作，餐厅所需原材料采购由乙方直接采购（原辅材料必须由招标程序获得），甲方指派一名监管人员与乙方餐厅负责人对接日常工作事务。。</w:t>
      </w:r>
    </w:p>
    <w:p w14:paraId="30FEA7D6">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3、就餐标准： 3 餐制。</w:t>
      </w:r>
    </w:p>
    <w:p w14:paraId="34799083">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早餐、午餐、晚餐根据学校实际情况制定食谱，每餐确保营养均衡且与食谱一致。</w:t>
      </w:r>
    </w:p>
    <w:p w14:paraId="36A9CE47">
      <w:pPr>
        <w:snapToGrid w:val="0"/>
        <w:spacing w:line="360" w:lineRule="auto"/>
        <w:ind w:firstLine="482" w:firstLineChars="200"/>
        <w:rPr>
          <w:rFonts w:ascii="仿宋" w:hAnsi="仿宋" w:eastAsia="仿宋" w:cs="仿宋"/>
          <w:sz w:val="24"/>
          <w:highlight w:val="none"/>
        </w:rPr>
      </w:pPr>
      <w:r>
        <w:rPr>
          <w:rFonts w:hint="eastAsia" w:ascii="仿宋" w:hAnsi="仿宋" w:eastAsia="仿宋" w:cs="仿宋"/>
          <w:b/>
          <w:bCs/>
          <w:sz w:val="24"/>
          <w:highlight w:val="none"/>
        </w:rPr>
        <w:t>第四条  检查与考核</w:t>
      </w:r>
    </w:p>
    <w:p w14:paraId="2B5B47B8">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1、甲方成立就餐民主管理委员会并制定餐饮管理制度，定期或不定期对乙方进行检查，每月将汇总的考核结果作为本月合同款支付依据。</w:t>
      </w:r>
    </w:p>
    <w:p w14:paraId="67DB3416">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2、合同期内，就餐民主管理委员会成员代表甲方职工对餐厅饭菜质量、口 味、环境卫生等方面每月进行投票评比， 乙方现场参与投票评比结果统计。如果</w:t>
      </w:r>
      <w:r>
        <w:rPr>
          <w:rFonts w:hint="eastAsia" w:ascii="仿宋" w:hAnsi="仿宋" w:eastAsia="仿宋" w:cs="仿宋"/>
          <w:sz w:val="24"/>
          <w:highlight w:val="none"/>
          <w:lang w:val="en-US" w:eastAsia="zh-CN"/>
        </w:rPr>
        <w:t>连续</w:t>
      </w:r>
      <w:r>
        <w:rPr>
          <w:rFonts w:hint="eastAsia" w:ascii="仿宋" w:hAnsi="仿宋" w:eastAsia="仿宋" w:cs="仿宋"/>
          <w:sz w:val="24"/>
          <w:highlight w:val="none"/>
        </w:rPr>
        <w:t>两个月有超出半数成员对乙方服务表现做出差评，甲方有权无条件解除合同。乙方人员恶意浪费或偷窃食材， 经核查属实， 乙方应承担相应损失，甲方有权进行考核处罚责令整改，情况严重者终止合同。</w:t>
      </w:r>
    </w:p>
    <w:p w14:paraId="5F6A0C74">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第五条  甲方的权利和义务</w:t>
      </w:r>
    </w:p>
    <w:p w14:paraId="026C9D87">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1、甲方无偿为乙方提供经营场所、办公场所等。</w:t>
      </w:r>
    </w:p>
    <w:p w14:paraId="1BE4004A">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2、甲方职工食堂水、电、气应接入并能正常使用；主副食加工间、粗加工间、冷库、用具、厨房、更衣间等房间、设器具齐全并能正常使用。</w:t>
      </w:r>
    </w:p>
    <w:p w14:paraId="14EBCBDD">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3、甲方有权审定乙方制定的餐饮管理制度，并监督乙方遵守；甲方有权对乙方的管理实施监督检查，并在此基础上进行考核。</w:t>
      </w:r>
    </w:p>
    <w:p w14:paraId="34F89183">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4、甲方有责任积极指导和协助乙方做好饮食服务工作。合同期限内，乙方按照甲方要求负责职工餐厅经营管理，经营成果归甲方所有。</w:t>
      </w:r>
    </w:p>
    <w:p w14:paraId="3EF31938">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5、职工食堂各区域按要求配置全能设施器具和现有的设备、器具的所用权均属于甲方；乙方在工作中应当合理、谨慎的使用相关的设备、设施，乙方因人为原因导致甲方设备毁损的，乙方应当积极予以维修并承担设施、设备毁损所造成的全部费用。因乙方管理不善将设备、器具丢失的，乙方应当照价予以赔偿。</w:t>
      </w:r>
    </w:p>
    <w:p w14:paraId="0F1B4FE4">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6、职工食堂现有设备、设施清单由甲方负责向乙方提供，并于乙方进驻工作现场时由双方派人进行移交手续。</w:t>
      </w:r>
    </w:p>
    <w:p w14:paraId="25D48970">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7、职工食堂的各项设备、在正常使用中因机器本身正常耗损所产生故障，不能正常运转的，由乙方负责维修、更换。</w:t>
      </w:r>
    </w:p>
    <w:p w14:paraId="65A95C96">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8、甲方对乙方的采购工作有监督管理权。</w:t>
      </w:r>
    </w:p>
    <w:p w14:paraId="2D51CA99">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9、双方在履行本合同期间，因乙方的原因导致就餐延误30分钟及以上，如果在一个月内发生两次及以上的，甲方有权单方面解除本合同，乙方自行承担因本合同解除所造成的一切后果和责任，给甲方造成损失的，乙方应当及时、足额的给予赔偿；甲方若有临时加班、放假以及大型接待等活动时，应提前一天告知乙方，若因就餐人员减少，甲方没有及时通知乙方，所造成的损失由甲方承担。如遇特殊情况需提前、延迟开餐或加餐时，甲方应提前一餐通知乙方，否则，造成的损失由甲方承担。</w:t>
      </w:r>
    </w:p>
    <w:p w14:paraId="35D61CD6">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10、甲方在履行本合同的过程中，乙方应该全力支持和配合。甲方有权要求乙方遵守甲方的规章制度，对于违反规章制度的乙方员工，甲方有权以书面形式告知乙方，限期乙方进行整改，乙方应当在甲方要求的期限内完成整改，否则甲方有权单方面解除本合同。</w:t>
      </w:r>
    </w:p>
    <w:p w14:paraId="721CFBA1">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11、甲方尊重乙方劳动和管理方式，乙方应加强餐厅及后厨管理工作，除甲方领导和后勤管理人员外，其余人员一律不得随意出入乙方的后厨工作现场。</w:t>
      </w:r>
    </w:p>
    <w:p w14:paraId="5CEE510A">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12、餐厅的日常采购管理：</w:t>
      </w:r>
    </w:p>
    <w:p w14:paraId="3DA7C8B8">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12.1甲方委托乙方进行日常食材、物料等原材料的采购和保障工作，甲方派出食堂管理员负责对乙方的采购食材、物料进行验收和监管。</w:t>
      </w:r>
    </w:p>
    <w:p w14:paraId="68CC1DBF">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12.2乙方应该严格执行采购验收制度，确保验收食材、物料质量符合食品安全要求，杜绝不符合食品安全要求的食材、物料进入餐厅。如果因为乙方的原因，出现采购的食材、物料引发安全事故，乙方应当承担全部责任，并赔偿受害人因此造成的一切损失。</w:t>
      </w:r>
    </w:p>
    <w:p w14:paraId="799E1F98">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12.3双方应当严格入库验收制度，入库验收工作由甲方食堂管理员和乙方厨师长负责，对入库原材料过秤、清点数量进行质量检查。</w:t>
      </w:r>
    </w:p>
    <w:p w14:paraId="422F0A0C">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12.4餐厅所用的米、面、肉及各种调料、物料、易损厨具的采购乙方应当从正规渠道购买，大宗原料提供三证等。</w:t>
      </w:r>
    </w:p>
    <w:p w14:paraId="21A143B4">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13、甲方对乙方的食品加工过程、营养搭配、服务质量及安全管理、环境卫生等方面有检查和监督权，对指出的问题乙方要及时整改。</w:t>
      </w:r>
    </w:p>
    <w:p w14:paraId="42AF25F5">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14、甲方无偿为乙方提供办公室等，供服务保障人员休息；乙方应对其员工加强管理，乙方人员在提供服务期间发生的一切纠纷与责任与甲方无关，由乙方自行承担。</w:t>
      </w:r>
    </w:p>
    <w:p w14:paraId="5450127A">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15、乙方承担天然气管道检修、维护、改造及然气表维修更换、检测费用。同时，日常维修等所产生的费用均由乙自行承担。</w:t>
      </w:r>
    </w:p>
    <w:p w14:paraId="1EE1B06F">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16、为确保安全，乙方负责每半年对油烟管道进行一次清理，费用由乙方承担；乙方负责餐厅日常卫生维护工作。</w:t>
      </w:r>
    </w:p>
    <w:p w14:paraId="533A4B32">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17、甲方对乙方制定的食谱每周进行审核确认，乙方对甲方提出的意见建议要及时改进，对暂时不能落实的问题要积极创造条件尽早落实，双方达成一致的食品要遵照执行，因原材料等特殊情况需要调整食谱时，调整量不超过20%。</w:t>
      </w:r>
    </w:p>
    <w:p w14:paraId="7E6391D4">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18、甲方工作人员不得干预乙方的采购工作，不得推荐亲朋好友向乙方推销原材料，不得干预乙方人员使用管理，不得推荐自己的关系户参与经营活动或强行推荐人员到餐厅工作，不私下做工作招聘乙方员工到甲方工作。</w:t>
      </w:r>
    </w:p>
    <w:p w14:paraId="4CDE7BF5">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19、甲方负责对乙方所加工的饭菜质量、成本、服务工作进行考核，并依据考核结果确定奖罚数额。</w:t>
      </w:r>
    </w:p>
    <w:p w14:paraId="0E464F48">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20、自签订合同起，由学校后勤处每天派人监督原材料采购质量、每周统计反馈综合监督情况（菜品质量、伙食标准、卫生情况、服务态度等）每月进行一次考核，针对考核结果提出整改方案并限期整改，如更改不到位，具体参照甲方相关考核标准进行相应惩罚，确保餐饮质量不断提升。</w:t>
      </w:r>
    </w:p>
    <w:p w14:paraId="3A5C3880">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第六条  乙方的权利和义务</w:t>
      </w:r>
    </w:p>
    <w:p w14:paraId="7EF05AF1">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1、本着办好职工食堂，不断提高就餐满意率的共同目标，乙方应当积极配合甲方，按照甲方提出的建议，及时对食堂技术人员的工作进行调整。</w:t>
      </w:r>
    </w:p>
    <w:p w14:paraId="65DDC496">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2、乙方承诺在日常工作中严格遵守《中华人民共和国食品安全法》及其他 国家和地方制定的食品安全方面的法律、法规， 并按照本合同的约定进行日常工作。</w:t>
      </w:r>
    </w:p>
    <w:p w14:paraId="07CBA435">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3、乙方承诺在合同期间保证食品安全率 100%，工作人员的人身安全率 100%和机械设备安全使用率 100%。合同履行期间，发生食品卫生问题（包括但不限于发生饭菜有异物、食材变 质），经抽检或就餐人员投诉情况属实的， 发现一次扣除合同金额0.05%，连续或累计出现五次及以上的，甲方有权单方解除本协议，并按本合同第合 同金额第八条第 1 款要求乙方承担违约责任。本合同履行期间，若发生食品安全事故，乙方承诺承担全部责任，并赔偿受害人因此造成的一切损失；乙方自行承担其工作人员的人身安全责任，乙方工作 人员发生的任何人身安全事故， 均与甲方无关；机械设备由甲方负责安装防护装 置，对于没有安全防护的设备，乙方有权拒绝使用， 如因此甲方造成损失的，由甲方自行承担，除此外，乙方承担的因机械安全所造成的全部责任和全部费用。本合同履行期间， 因乙方原因所发生的食品安全、人身安全、机械安全事故，所产生的全部费用和相应的责任均由乙方承担。</w:t>
      </w:r>
    </w:p>
    <w:p w14:paraId="2A674671">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4、乙方的工作人员应当符合国家食品药品监督部门和其他相关部门的要求，乙方工作人员均应当持有效的《健康证》。</w:t>
      </w:r>
    </w:p>
    <w:p w14:paraId="570637F0">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5、乙方应按时、保质、保量地完成劳务外包项目工作任务，确保甲方节假日加班和日常延时工作的需求，确保日常工作正常运行。</w:t>
      </w:r>
    </w:p>
    <w:p w14:paraId="249CD8B1">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6、乙方应当向所属员工提供符合《中华人民共和国食品安全法》要求的、印有乙方企业标识的工作服和出入证，乙方员工在工作区域时，必须穿着统一工作服。</w:t>
      </w:r>
    </w:p>
    <w:p w14:paraId="3031C45C">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7、乙方应当保证其员工身份的真实性以及政审合格。</w:t>
      </w:r>
    </w:p>
    <w:p w14:paraId="0046D0E5">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8、根据伙食费标准做好伙食调剂，控制伙食成本，杜绝浪费。按照甲方提 供的伙食标准进行成本核算，确因市场物价上涨幅度较大且持续时间较长时，乙方有权调整食谱或要求甲方适当提高餐标。乙方同时应妥善保管甲方仓库内食材，坚决杜绝人为损耗。否则，乙方应承担赔偿责任。</w:t>
      </w:r>
    </w:p>
    <w:p w14:paraId="37C8A201">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9、按《食品安全法》相关规定，乙方所有出售的产品确保留样齐全，固体不少于 125 克，液体不少于 125 毫升，时间不低于 48 小时，以便发生食源性事故时追查原因。</w:t>
      </w:r>
    </w:p>
    <w:p w14:paraId="26FBDEC7">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10、乙方须与员工签订正式劳动合同，负责员工的使用、管理、教育、培训、 奖惩和调配工作；负责员工意外事故和劳动纠纷的处理工作； 按时支付员工工资、保险及其他福利。负责所辖工作人员的安全工作。除甲方责任外，乙方员工及第 三人出现人身伤亡、财产损失事故， 由乙方负责，所有费用由乙方承担。乙方应 当按照我国劳动法律法规的有关规定向所属员工发放工资、福利、劳保； 同时建 立、健全劳动安全制度，严格执行国家劳动安全规程和标准； 并对员工进行上岗 前安全教育和技能等培训， 使其符合上岗的要求， 具备相应的职业技能和业务素质。</w:t>
      </w:r>
    </w:p>
    <w:p w14:paraId="279E3510">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11、定期征求就餐人员意见， 根据甲方意见有针对性改定工作。乙方管理人员和厨师长须按甲方要求参与就餐民主管理委员会召开的有关餐厅问题的会议。</w:t>
      </w:r>
    </w:p>
    <w:p w14:paraId="7B666633">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12、甲方配置的机械设备，乙方不得转让、转包、转租、变卖或擅自挪用其他用途。必须爱护甲方的设备和财产，由于违规操作造成的设施设备、炊具、餐具等的损坏，由乙方照价赔偿。</w:t>
      </w:r>
    </w:p>
    <w:p w14:paraId="226BA5FE">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13、乙方负责对餐厅水、电、燃气和设施设备的检查巡视， 发现问题及时向甲方汇报。</w:t>
      </w:r>
    </w:p>
    <w:p w14:paraId="16CBD7AB">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14、遇到甲方有重大活动时，乙方必须按照甲方要求保障饮食供应， 需提前或延后就餐时，由甲方负责提前通知乙方，乙方须配合并保证供应。</w:t>
      </w:r>
    </w:p>
    <w:p w14:paraId="251D7F28">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15、乙方需调整人员时，必须事先向甲方备案，应交健康证、在岗出入证、工作证等，并办理其他手续。</w:t>
      </w:r>
    </w:p>
    <w:p w14:paraId="77A3F8AB">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16、乙方从事餐饮的所有人员必须办理卫生防疫部门发放的健康证， 并承担办证费用。</w:t>
      </w:r>
    </w:p>
    <w:p w14:paraId="6887C1D6">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17、承包服务期内，食堂所用水、电、燃气由乙方负责，费用由乙方承担，以实际使用查数为准付费；设备维修、耗材采购等产生的所有费用均由乙方自行承担。</w:t>
      </w:r>
    </w:p>
    <w:p w14:paraId="3B24298D">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18、乙方必须向甲方开具符合甲方要求的正规发票，税费由乙方承担。</w:t>
      </w:r>
    </w:p>
    <w:p w14:paraId="755AD4E5">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第七条  违约责任及解决合同纠纷的方式</w:t>
      </w:r>
    </w:p>
    <w:p w14:paraId="38A64AC1">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1、双方任何一方违反本合同任一条款即构成违约，违约方应当给守约方支付20%违约金。同时，违约方还需承担守约方因实现权利产生的诉讼费、律师费、保全费、担保费等。</w:t>
      </w:r>
    </w:p>
    <w:p w14:paraId="5E8EA7CD">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2、在本合同履行期间如产生争议，双方应当首先进行友好协商，若协商不成，可向甲方所在地有管辖权的人民法院提起诉讼起诉。</w:t>
      </w:r>
    </w:p>
    <w:p w14:paraId="21C84D93">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3、除因不可抗拒的事件外（如地震、水灾、旱灾、战争、政府禁令、罢工等），任何一方不得以任何理由不经协商而中断合同的有效执行。</w:t>
      </w:r>
    </w:p>
    <w:p w14:paraId="1C54BBAC">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为建立友好合作关系，确保双方权益和商业秘密不受侵犯，双方均负有保密责任和义务，未经任何一方允许，不得将对方商业信息、技术信息、经营信息及本合同约定的相关内容转载或公开给第三方，若任何一方违反本条款，需承担违约金10万元，同时承担相应的法律责任。</w:t>
      </w:r>
    </w:p>
    <w:p w14:paraId="79B082F5">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第八条 其他要求</w:t>
      </w:r>
    </w:p>
    <w:p w14:paraId="039CEA2B">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1、退出机制。</w:t>
      </w:r>
    </w:p>
    <w:p w14:paraId="35D01C29">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（1）餐饮公司日常工作中触犯相关食品安全法律法规；</w:t>
      </w:r>
    </w:p>
    <w:p w14:paraId="0BD50EA4">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（2）因相关食品安全问题引发家长及社会面重大舆情；</w:t>
      </w:r>
    </w:p>
    <w:p w14:paraId="079F5078">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（3）因相关国家方针、政策的颁布执行与现行餐饮服务方式有悖。凡出现上述相关问题，视情况将采取相应处罚或终止合同措施。</w:t>
      </w:r>
    </w:p>
    <w:p w14:paraId="05DEC97D">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2、大宗食材相关采购必须由中标单位通过相关招标手续获得。</w:t>
      </w:r>
    </w:p>
    <w:p w14:paraId="4EE4753C">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3、学校每学期将邀请专业审计机构对餐饮服务单位的相关资金、运营进行监督和审计、并出具审计报告。</w:t>
      </w:r>
    </w:p>
    <w:p w14:paraId="2D725ACF">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第九条  合同变更与终止</w:t>
      </w:r>
    </w:p>
    <w:p w14:paraId="17129324">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1、合同期间任何一方不得随意终止合同。</w:t>
      </w:r>
    </w:p>
    <w:p w14:paraId="3EA37AAF">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2、本合同规定的履行期限届满，合同自动终止。</w:t>
      </w:r>
    </w:p>
    <w:p w14:paraId="20A664AB">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3、乙方应自觉遵守甲方工作纪律、规章制度，服从甲方管理。因乙方原因给甲方造成严重后果，甲方可以单方面解除合同。</w:t>
      </w:r>
    </w:p>
    <w:p w14:paraId="2A70A679">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 xml:space="preserve">第十条 </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
          <w:bCs/>
          <w:sz w:val="24"/>
          <w:highlight w:val="none"/>
        </w:rPr>
        <w:t>不可抗力</w:t>
      </w:r>
      <w:r>
        <w:rPr>
          <w:rFonts w:hint="eastAsia" w:ascii="仿宋" w:hAnsi="仿宋" w:eastAsia="仿宋" w:cs="仿宋"/>
          <w:b/>
          <w:bCs/>
          <w:sz w:val="24"/>
          <w:highlight w:val="none"/>
        </w:rPr>
        <w:fldChar w:fldCharType="end"/>
      </w:r>
    </w:p>
    <w:p w14:paraId="3EAF4C32">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甲乙双方任何一</w:t>
      </w:r>
      <w:r>
        <w:rPr>
          <w:rFonts w:hint="eastAsia" w:ascii="仿宋" w:hAnsi="仿宋" w:eastAsia="仿宋" w:cs="仿宋"/>
          <w:sz w:val="24"/>
          <w:highlight w:val="none"/>
        </w:rPr>
        <w:fldChar w:fldCharType="begin"/>
      </w:r>
      <w:r>
        <w:rPr>
          <w:rFonts w:hint="eastAsia" w:ascii="仿宋" w:hAnsi="仿宋" w:eastAsia="仿宋" w:cs="仿宋"/>
          <w:sz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sz w:val="24"/>
          <w:highlight w:val="none"/>
        </w:rPr>
        <w:fldChar w:fldCharType="separate"/>
      </w:r>
      <w:r>
        <w:rPr>
          <w:rFonts w:hint="eastAsia" w:ascii="仿宋" w:hAnsi="仿宋" w:eastAsia="仿宋" w:cs="仿宋"/>
          <w:sz w:val="24"/>
          <w:highlight w:val="none"/>
        </w:rPr>
        <w:t>方由于不可抗力原</w:t>
      </w:r>
      <w:r>
        <w:rPr>
          <w:rFonts w:hint="eastAsia" w:ascii="仿宋" w:hAnsi="仿宋" w:eastAsia="仿宋" w:cs="仿宋"/>
          <w:sz w:val="24"/>
          <w:highlight w:val="none"/>
        </w:rPr>
        <w:fldChar w:fldCharType="end"/>
      </w:r>
      <w:r>
        <w:rPr>
          <w:highlight w:val="none"/>
        </w:rPr>
        <w:fldChar w:fldCharType="begin"/>
      </w:r>
      <w:r>
        <w:rPr>
          <w:highlight w:val="none"/>
        </w:rPr>
        <w:instrText xml:space="preserve"> HYPERLINK "http://set2.mail.qq.com/cgi-bin/mail_spam?action=check_link&amp;spam=0&amp;url=http%3A%2F%2Fwww%2Ebaidu%2Ecom%2Fs%3Fwd%3D%25E6%2596%25B9%25E9%2580%259A%26hl_tag%3Dtextlink%26tn%3DSE_hldp01350_v6v6zkg6" </w:instrText>
      </w:r>
      <w:r>
        <w:rPr>
          <w:highlight w:val="none"/>
        </w:rPr>
        <w:fldChar w:fldCharType="separate"/>
      </w:r>
      <w:r>
        <w:rPr>
          <w:rFonts w:hint="eastAsia" w:ascii="仿宋" w:hAnsi="仿宋" w:eastAsia="仿宋" w:cs="仿宋"/>
          <w:sz w:val="24"/>
          <w:highlight w:val="none"/>
        </w:rPr>
        <w:t>因不能履行合同时，应及时向对方通报</w:t>
      </w:r>
      <w:r>
        <w:rPr>
          <w:rFonts w:hint="eastAsia" w:ascii="仿宋" w:hAnsi="仿宋" w:eastAsia="仿宋" w:cs="仿宋"/>
          <w:sz w:val="24"/>
          <w:highlight w:val="none"/>
        </w:rPr>
        <w:fldChar w:fldCharType="end"/>
      </w:r>
      <w:r>
        <w:rPr>
          <w:rFonts w:hint="eastAsia" w:ascii="仿宋" w:hAnsi="仿宋" w:eastAsia="仿宋" w:cs="仿宋"/>
          <w:sz w:val="24"/>
          <w:highlight w:val="none"/>
        </w:rPr>
        <w:t>不能履行或不能完全履行的理由，以减轻可能给对方造成的损失，在取得有关机构证明</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sz w:val="24"/>
          <w:highlight w:val="none"/>
        </w:rPr>
        <w:t>后，允许延期履行、部分履行或不履行合同，并根据情况可部分或全部免予承担违</w:t>
      </w:r>
      <w:r>
        <w:rPr>
          <w:rFonts w:hint="eastAsia" w:ascii="仿宋" w:hAnsi="仿宋" w:eastAsia="仿宋" w:cs="仿宋"/>
          <w:sz w:val="24"/>
          <w:highlight w:val="none"/>
        </w:rPr>
        <w:fldChar w:fldCharType="end"/>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sz w:val="24"/>
          <w:highlight w:val="none"/>
        </w:rPr>
        <w:t>约责任。</w:t>
      </w:r>
      <w:r>
        <w:rPr>
          <w:rFonts w:hint="eastAsia" w:ascii="仿宋" w:hAnsi="仿宋" w:eastAsia="仿宋" w:cs="仿宋"/>
          <w:sz w:val="24"/>
          <w:highlight w:val="none"/>
        </w:rPr>
        <w:fldChar w:fldCharType="end"/>
      </w:r>
    </w:p>
    <w:p w14:paraId="660AE4A4">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第十一条  争议解决</w:t>
      </w:r>
    </w:p>
    <w:p w14:paraId="4AF2568C">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双方本着友好合作的态度,</w:t>
      </w:r>
      <w:r>
        <w:rPr>
          <w:highlight w:val="none"/>
        </w:rPr>
        <w:fldChar w:fldCharType="begin"/>
      </w:r>
      <w:r>
        <w:rPr>
          <w:highlight w:val="none"/>
        </w:rPr>
        <w:instrText xml:space="preserve"> HYPERLINK "http://set2.mail.qq.com/cgi-bin/mail_spam?action=check_link&amp;spam=0&amp;url=http%3A%2F%2Fbaike%2Ebaidu%2Ecom%2Fview%2F322875%2Ehtm" </w:instrText>
      </w:r>
      <w:r>
        <w:rPr>
          <w:highlight w:val="none"/>
        </w:rPr>
        <w:fldChar w:fldCharType="separate"/>
      </w:r>
      <w:r>
        <w:rPr>
          <w:rFonts w:hint="eastAsia" w:ascii="仿宋" w:hAnsi="仿宋" w:eastAsia="仿宋" w:cs="仿宋"/>
          <w:sz w:val="24"/>
          <w:highlight w:val="none"/>
        </w:rPr>
        <w:t>对合同履行过程中发生的纠纷应</w:t>
      </w:r>
      <w:r>
        <w:rPr>
          <w:rFonts w:hint="eastAsia" w:ascii="仿宋" w:hAnsi="仿宋" w:eastAsia="仿宋" w:cs="仿宋"/>
          <w:sz w:val="24"/>
          <w:highlight w:val="none"/>
        </w:rPr>
        <w:fldChar w:fldCharType="end"/>
      </w:r>
      <w:r>
        <w:rPr>
          <w:rFonts w:hint="eastAsia" w:ascii="仿宋" w:hAnsi="仿宋" w:eastAsia="仿宋" w:cs="仿宋"/>
          <w:sz w:val="24"/>
          <w:highlight w:val="none"/>
        </w:rPr>
        <w:t>及时协商解决,协商不成，向甲方所在地人民法院诉讼解决。</w:t>
      </w:r>
    </w:p>
    <w:p w14:paraId="4DEF1313">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第十二条  监督和管理</w:t>
      </w:r>
    </w:p>
    <w:p w14:paraId="67BB8E0D">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1、政府采购合同履行中，甲方需追加与合同标的相同的货物、工程或者服务 的，在不改变合同其他条款的前提下，可以与乙方协商签订补充合同，但所有补充合同的采购金额不得超过原合同采购金额的百分之十。</w:t>
      </w:r>
    </w:p>
    <w:p w14:paraId="214573DF">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2、甲乙双方均应自觉配合有关监督管理部门对合同履行情况的监督检查，如实反映情况，提供有关资料；否则，将对有关单位、当事人按照有关规定予以处罚。</w:t>
      </w:r>
    </w:p>
    <w:p w14:paraId="007B021D">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 xml:space="preserve">第十三条 </w:t>
      </w:r>
      <w:r>
        <w:rPr>
          <w:highlight w:val="none"/>
        </w:rPr>
        <w:fldChar w:fldCharType="begin"/>
      </w:r>
      <w:r>
        <w:rPr>
          <w:highlight w:val="none"/>
        </w:rPr>
        <w:instrText xml:space="preserve"> HYPERLINK "http://set2.mail.qq.com/cgi-bin/mail_spam?action=check_link&amp;spam=0&amp;url=http%3A%2F%2Fwww%2Ebaidu%2Ecom%2Fs%3Fwd%3D%25E6%2597%25A0%25E6%2595%2588%25E5%2590%2588%25E5%2590%258C%26hl_tag%3Dtextlink%26tn%3DSE_hldp01350_v6v6zkg6" </w:instrText>
      </w:r>
      <w:r>
        <w:rPr>
          <w:highlight w:val="none"/>
        </w:rPr>
        <w:fldChar w:fldCharType="separate"/>
      </w:r>
      <w:r>
        <w:rPr>
          <w:rFonts w:hint="eastAsia" w:ascii="仿宋" w:hAnsi="仿宋" w:eastAsia="仿宋" w:cs="仿宋"/>
          <w:b/>
          <w:bCs/>
          <w:sz w:val="24"/>
          <w:highlight w:val="none"/>
        </w:rPr>
        <w:t>无效合同</w:t>
      </w:r>
      <w:r>
        <w:rPr>
          <w:rFonts w:hint="eastAsia" w:ascii="仿宋" w:hAnsi="仿宋" w:eastAsia="仿宋" w:cs="仿宋"/>
          <w:b/>
          <w:bCs/>
          <w:sz w:val="24"/>
          <w:highlight w:val="none"/>
        </w:rPr>
        <w:fldChar w:fldCharType="end"/>
      </w:r>
    </w:p>
    <w:p w14:paraId="0A0CCCAF">
      <w:pPr>
        <w:snapToGrid w:val="0"/>
        <w:spacing w:line="360" w:lineRule="auto"/>
        <w:ind w:firstLine="420" w:firstLineChars="200"/>
        <w:rPr>
          <w:rFonts w:ascii="仿宋" w:hAnsi="仿宋" w:eastAsia="仿宋" w:cs="仿宋"/>
          <w:sz w:val="24"/>
          <w:highlight w:val="none"/>
        </w:rPr>
      </w:pPr>
      <w:r>
        <w:rPr>
          <w:highlight w:val="none"/>
        </w:rPr>
        <w:fldChar w:fldCharType="begin"/>
      </w:r>
      <w:r>
        <w:rPr>
          <w:highlight w:val="none"/>
        </w:rPr>
        <w:instrText xml:space="preserve"> HYPERLINK "http://set2.mail.qq.com/cgi-bin/mail_spam?action=check_link&amp;spam=0&amp;url=http%3A%2F%2Fwww%2Ebaidu%2Ecom%2Fs%3Fwd%3D%25E5%2590%2588%25E5%2590%258C%25E6%2597%25A0%25E6%2595%2588%26hl_tag%3Dtextlink%26tn%3DSE_hldp01350_v6v6zkg6" </w:instrText>
      </w:r>
      <w:r>
        <w:rPr>
          <w:highlight w:val="none"/>
        </w:rPr>
        <w:fldChar w:fldCharType="separate"/>
      </w:r>
      <w:r>
        <w:rPr>
          <w:rFonts w:hint="eastAsia" w:ascii="仿宋" w:hAnsi="仿宋" w:eastAsia="仿宋" w:cs="仿宋"/>
          <w:sz w:val="24"/>
          <w:highlight w:val="none"/>
        </w:rPr>
        <w:t>甲乙双方如因违反政府采购法及相关法律法规的规定， 被宣告合同无效的，</w:t>
      </w:r>
      <w:r>
        <w:rPr>
          <w:rFonts w:hint="eastAsia" w:ascii="仿宋" w:hAnsi="仿宋" w:eastAsia="仿宋" w:cs="仿宋"/>
          <w:sz w:val="24"/>
          <w:highlight w:val="none"/>
        </w:rPr>
        <w:fldChar w:fldCharType="end"/>
      </w:r>
      <w:r>
        <w:rPr>
          <w:rFonts w:hint="eastAsia" w:ascii="仿宋" w:hAnsi="仿宋" w:eastAsia="仿宋" w:cs="仿宋"/>
          <w:sz w:val="24"/>
          <w:highlight w:val="none"/>
        </w:rPr>
        <w:t>一切责任概由过错方自行承担。</w:t>
      </w:r>
    </w:p>
    <w:p w14:paraId="28150741">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第十四条  附则</w:t>
      </w:r>
    </w:p>
    <w:p w14:paraId="49C41800">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1、本次采购项目的</w:t>
      </w:r>
      <w:r>
        <w:rPr>
          <w:rFonts w:hint="eastAsia" w:ascii="仿宋" w:hAnsi="仿宋" w:eastAsia="仿宋" w:cs="仿宋"/>
          <w:sz w:val="24"/>
          <w:highlight w:val="none"/>
          <w:lang w:val="en-US" w:eastAsia="zh-CN"/>
        </w:rPr>
        <w:t>招标</w:t>
      </w:r>
      <w:r>
        <w:rPr>
          <w:rFonts w:hint="eastAsia" w:ascii="仿宋" w:hAnsi="仿宋" w:eastAsia="仿宋" w:cs="仿宋"/>
          <w:sz w:val="24"/>
          <w:highlight w:val="none"/>
        </w:rPr>
        <w:t>文件、</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文件、中标通知书及澄清说明文件均为本合同的组成部分， 甲、乙双方必须全面遵守， 如有违反，应承担违约责任。</w:t>
      </w:r>
    </w:p>
    <w:p w14:paraId="02D98FDC">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2、本合同一式陆份,甲乙双方各执两份,采购代理机构两份。</w:t>
      </w:r>
    </w:p>
    <w:p w14:paraId="6F708A3D">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3、本合同自签订之日起生效。</w:t>
      </w:r>
    </w:p>
    <w:p w14:paraId="4B744384">
      <w:pPr>
        <w:rPr>
          <w:rFonts w:ascii="仿宋" w:hAnsi="仿宋" w:eastAsia="仿宋" w:cs="仿宋"/>
          <w:highlight w:val="none"/>
        </w:rPr>
      </w:pPr>
    </w:p>
    <w:p w14:paraId="464F0B60">
      <w:pPr>
        <w:spacing w:line="360" w:lineRule="auto"/>
        <w:rPr>
          <w:rFonts w:ascii="仿宋" w:hAnsi="仿宋" w:eastAsia="仿宋" w:cs="仿宋"/>
          <w:sz w:val="24"/>
          <w:highlight w:val="none"/>
        </w:rPr>
      </w:pPr>
      <w:r>
        <w:rPr>
          <w:rFonts w:hint="eastAsia" w:ascii="仿宋" w:hAnsi="仿宋" w:eastAsia="仿宋" w:cs="仿宋"/>
          <w:sz w:val="24"/>
          <w:highlight w:val="none"/>
        </w:rPr>
        <w:t>甲    方：                         乙    方：</w:t>
      </w:r>
    </w:p>
    <w:p w14:paraId="61743558">
      <w:pPr>
        <w:spacing w:line="360" w:lineRule="auto"/>
        <w:rPr>
          <w:rFonts w:ascii="仿宋" w:hAnsi="仿宋" w:eastAsia="仿宋" w:cs="仿宋"/>
          <w:sz w:val="24"/>
          <w:highlight w:val="none"/>
        </w:rPr>
      </w:pPr>
      <w:r>
        <w:rPr>
          <w:rFonts w:hint="eastAsia" w:ascii="仿宋" w:hAnsi="仿宋" w:eastAsia="仿宋" w:cs="仿宋"/>
          <w:sz w:val="24"/>
          <w:highlight w:val="none"/>
        </w:rPr>
        <w:t>单位名称(公章)：                   单位名称(公章)：</w:t>
      </w:r>
    </w:p>
    <w:p w14:paraId="422F5825">
      <w:pPr>
        <w:spacing w:line="360" w:lineRule="auto"/>
        <w:rPr>
          <w:rFonts w:ascii="仿宋" w:hAnsi="仿宋" w:eastAsia="仿宋" w:cs="仿宋"/>
          <w:sz w:val="24"/>
          <w:highlight w:val="none"/>
        </w:rPr>
      </w:pPr>
      <w:r>
        <w:rPr>
          <w:rFonts w:hint="eastAsia" w:ascii="仿宋" w:hAnsi="仿宋" w:eastAsia="仿宋" w:cs="仿宋"/>
          <w:sz w:val="24"/>
          <w:highlight w:val="none"/>
        </w:rPr>
        <w:t>法定代表人/负责人                  法定代表人/负责人</w:t>
      </w:r>
    </w:p>
    <w:p w14:paraId="2D5561DA">
      <w:pPr>
        <w:spacing w:line="360" w:lineRule="auto"/>
        <w:rPr>
          <w:rFonts w:ascii="仿宋" w:hAnsi="仿宋" w:eastAsia="仿宋" w:cs="仿宋"/>
          <w:sz w:val="24"/>
          <w:highlight w:val="none"/>
        </w:rPr>
      </w:pPr>
      <w:r>
        <w:rPr>
          <w:rFonts w:hint="eastAsia" w:ascii="仿宋" w:hAnsi="仿宋" w:eastAsia="仿宋" w:cs="仿宋"/>
          <w:sz w:val="24"/>
          <w:highlight w:val="none"/>
        </w:rPr>
        <w:t>或授权代理人（签字）：             或授权代理人（签字）：</w:t>
      </w:r>
    </w:p>
    <w:p w14:paraId="3F97BCF1">
      <w:pPr>
        <w:spacing w:line="360" w:lineRule="auto"/>
        <w:rPr>
          <w:rFonts w:ascii="仿宋" w:hAnsi="仿宋" w:eastAsia="仿宋" w:cs="仿宋"/>
          <w:sz w:val="24"/>
          <w:highlight w:val="none"/>
        </w:rPr>
      </w:pPr>
      <w:r>
        <w:rPr>
          <w:rFonts w:hint="eastAsia" w:ascii="仿宋" w:hAnsi="仿宋" w:eastAsia="仿宋" w:cs="仿宋"/>
          <w:sz w:val="24"/>
          <w:highlight w:val="none"/>
        </w:rPr>
        <w:t>电    话：                         电    话：</w:t>
      </w:r>
    </w:p>
    <w:p w14:paraId="3B382DBC">
      <w:pPr>
        <w:spacing w:line="360" w:lineRule="auto"/>
        <w:rPr>
          <w:rFonts w:ascii="仿宋" w:hAnsi="仿宋" w:eastAsia="仿宋" w:cs="仿宋"/>
          <w:sz w:val="28"/>
          <w:szCs w:val="21"/>
          <w:highlight w:val="none"/>
          <w:lang w:eastAsia="zh-Hans"/>
        </w:rPr>
      </w:pPr>
      <w:r>
        <w:rPr>
          <w:rFonts w:hint="eastAsia" w:ascii="仿宋" w:hAnsi="仿宋" w:eastAsia="仿宋" w:cs="仿宋"/>
          <w:sz w:val="24"/>
          <w:highlight w:val="none"/>
        </w:rPr>
        <w:t>签订日期：                         签订日期：</w:t>
      </w:r>
    </w:p>
    <w:p w14:paraId="5B6E39DB"/>
    <w:sectPr>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59382">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4A3704">
                          <w:pPr>
                            <w:pStyle w:val="7"/>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D4A3704">
                    <w:pPr>
                      <w:pStyle w:val="7"/>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212B0">
    <w:pPr>
      <w:pStyle w:val="8"/>
      <w:pBdr>
        <w:bottom w:val="none" w:color="auto" w:sz="0" w:space="0"/>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B6623D"/>
    <w:rsid w:val="0EB6623D"/>
    <w:rsid w:val="1C8E1FE6"/>
    <w:rsid w:val="1FF17CBA"/>
    <w:rsid w:val="25494122"/>
    <w:rsid w:val="437D79C7"/>
    <w:rsid w:val="4D7830DF"/>
    <w:rsid w:val="554C3600"/>
    <w:rsid w:val="557D1BD1"/>
    <w:rsid w:val="5D99089C"/>
    <w:rsid w:val="5E590CDA"/>
    <w:rsid w:val="63E022EB"/>
    <w:rsid w:val="65FF44E4"/>
    <w:rsid w:val="693B39B1"/>
    <w:rsid w:val="6E672362"/>
    <w:rsid w:val="75733B41"/>
    <w:rsid w:val="760555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4">
    <w:name w:val="heading 4"/>
    <w:basedOn w:val="1"/>
    <w:next w:val="1"/>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rPr>
      <w:rFonts w:ascii="Arial" w:hAnsi="Arial" w:eastAsia="宋体" w:cs="Times New Roman"/>
      <w:sz w:val="24"/>
      <w:szCs w:val="20"/>
    </w:rPr>
  </w:style>
  <w:style w:type="paragraph" w:styleId="5">
    <w:name w:val="Body Text"/>
    <w:basedOn w:val="1"/>
    <w:next w:val="1"/>
    <w:semiHidden/>
    <w:unhideWhenUsed/>
    <w:qFormat/>
    <w:uiPriority w:val="99"/>
    <w:rPr>
      <w:rFonts w:ascii="宋体" w:hAnsi="宋体" w:eastAsia="宋体" w:cs="宋体"/>
      <w:sz w:val="20"/>
      <w:szCs w:val="20"/>
      <w:lang w:eastAsia="en-US"/>
    </w:rPr>
  </w:style>
  <w:style w:type="paragraph" w:styleId="6">
    <w:name w:val="Body Text Indent"/>
    <w:basedOn w:val="1"/>
    <w:qFormat/>
    <w:uiPriority w:val="0"/>
    <w:pPr>
      <w:spacing w:after="120"/>
      <w:ind w:left="420" w:leftChars="200"/>
    </w:pPr>
    <w:rPr>
      <w:rFonts w:ascii="Times New Roman" w:hAnsi="Times New Roman" w:eastAsia="宋体" w:cs="Times New Roman"/>
      <w:sz w:val="24"/>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Body Text First Indent"/>
    <w:basedOn w:val="5"/>
    <w:next w:val="10"/>
    <w:unhideWhenUsed/>
    <w:qFormat/>
    <w:uiPriority w:val="99"/>
    <w:pPr>
      <w:spacing w:after="120"/>
      <w:ind w:firstLine="420" w:firstLineChars="100"/>
    </w:pPr>
    <w:rPr>
      <w:rFonts w:hAnsi="Times New Roman" w:cs="Times New Roman"/>
      <w:sz w:val="24"/>
      <w:szCs w:val="24"/>
      <w:lang w:eastAsia="zh-CN"/>
    </w:rPr>
  </w:style>
  <w:style w:type="paragraph" w:styleId="10">
    <w:name w:val="Body Text First Indent 2"/>
    <w:basedOn w:val="6"/>
    <w:next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5582</Words>
  <Characters>5654</Characters>
  <Lines>0</Lines>
  <Paragraphs>0</Paragraphs>
  <TotalTime>1</TotalTime>
  <ScaleCrop>false</ScaleCrop>
  <LinksUpToDate>false</LinksUpToDate>
  <CharactersWithSpaces>6014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2025-07-14T07:05:00Z</dcterms:created>
  <dc:creator>陕西笃信招标有限公司</dc:creator>
  <cp:lastModifiedBy>搬砖小奶猫</cp:lastModifiedBy>
  <dcterms:modified xsi:type="dcterms:W3CDTF">2026-04-28T09:50:40Z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7455EFCC7B7C491CB5FA5958C45878EF_13</vt:lpwstr>
  </property>
  <property fmtid="{D5CDD505-2E9C-101B-9397-08002B2CF9AE}" pid="4" name="KSOTemplateDocerSaveRecord">
    <vt:lpwstr>eyJoZGlkIjoiNDFhM2U4MjE2MTdlYjY2MDYwOWFlZWM2YjAzZWRjNzciLCJ1c2VySWQiOiIyNzg1NTE0MDkifQ==</vt:lpwstr>
  </property>
</Properties>
</file>