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E4D4D">
      <w:pPr>
        <w:spacing w:line="210" w:lineRule="auto"/>
        <w:rPr>
          <w:rFonts w:ascii="仿宋_GB2312" w:hAnsi="仿宋_GB2312" w:eastAsia="仿宋_GB2312" w:cs="仿宋_GB2312"/>
          <w:sz w:val="19"/>
          <w:szCs w:val="19"/>
          <w:lang w:eastAsia="zh-CN"/>
        </w:rPr>
      </w:pPr>
    </w:p>
    <w:p w14:paraId="71F13458">
      <w:pPr>
        <w:spacing w:before="240" w:beforeLines="100" w:after="240" w:afterLines="100" w:line="480" w:lineRule="auto"/>
        <w:jc w:val="center"/>
        <w:rPr>
          <w:rFonts w:ascii="仿宋_GB2312" w:hAnsi="仿宋_GB2312" w:eastAsia="仿宋_GB2312" w:cs="仿宋_GB2312"/>
          <w:lang w:eastAsia="zh-CN"/>
        </w:rPr>
      </w:pPr>
      <w:r>
        <w:rPr>
          <w:rFonts w:hint="eastAsia" w:ascii="仿宋_GB2312" w:hAnsi="仿宋_GB2312" w:eastAsia="仿宋_GB2312" w:cs="仿宋_GB2312"/>
          <w:lang w:eastAsia="zh-CN"/>
        </w:rPr>
        <w:t xml:space="preserve"> </w:t>
      </w:r>
    </w:p>
    <w:p w14:paraId="29BD8431">
      <w:pPr>
        <w:spacing w:before="240" w:beforeLines="100" w:after="240" w:afterLines="100" w:line="480" w:lineRule="auto"/>
        <w:jc w:val="center"/>
        <w:rPr>
          <w:rFonts w:ascii="仿宋_GB2312" w:hAnsi="仿宋_GB2312" w:eastAsia="仿宋_GB2312" w:cs="仿宋_GB2312"/>
          <w:b/>
          <w:sz w:val="44"/>
          <w:szCs w:val="44"/>
          <w:lang w:eastAsia="zh-CN"/>
        </w:rPr>
      </w:pPr>
      <w:r>
        <w:rPr>
          <w:rFonts w:hint="eastAsia" w:ascii="仿宋_GB2312" w:hAnsi="仿宋_GB2312" w:eastAsia="仿宋_GB2312" w:cs="仿宋_GB2312"/>
          <w:b/>
          <w:sz w:val="44"/>
          <w:szCs w:val="44"/>
          <w:lang w:eastAsia="zh-CN"/>
        </w:rPr>
        <w:t>西安市疾病预防控制中心</w:t>
      </w:r>
    </w:p>
    <w:p w14:paraId="57A33984">
      <w:pPr>
        <w:spacing w:before="240" w:beforeLines="100" w:after="240" w:afterLines="100" w:line="480" w:lineRule="auto"/>
        <w:jc w:val="center"/>
        <w:rPr>
          <w:rFonts w:ascii="仿宋_GB2312" w:hAnsi="仿宋_GB2312" w:eastAsia="仿宋_GB2312" w:cs="仿宋_GB2312"/>
          <w:b/>
          <w:sz w:val="44"/>
          <w:szCs w:val="44"/>
          <w:lang w:eastAsia="zh-CN"/>
        </w:rPr>
      </w:pPr>
      <w:r>
        <w:rPr>
          <w:rFonts w:hint="eastAsia" w:ascii="仿宋_GB2312" w:hAnsi="仿宋_GB2312" w:eastAsia="仿宋_GB2312" w:cs="仿宋_GB2312"/>
          <w:b/>
          <w:sz w:val="44"/>
          <w:szCs w:val="44"/>
          <w:lang w:eastAsia="zh-CN"/>
        </w:rPr>
        <w:t>传染病监测试剂与实验室预警专用设备采购项目采购合同</w:t>
      </w:r>
    </w:p>
    <w:p w14:paraId="497D7AE7">
      <w:pPr>
        <w:jc w:val="center"/>
        <w:rPr>
          <w:rFonts w:ascii="仿宋_GB2312" w:hAnsi="仿宋_GB2312" w:eastAsia="仿宋_GB2312" w:cs="仿宋_GB2312"/>
          <w:bCs/>
          <w:sz w:val="15"/>
          <w:szCs w:val="18"/>
          <w:lang w:eastAsia="zh-CN"/>
        </w:rPr>
      </w:pPr>
      <w:r>
        <w:rPr>
          <w:rFonts w:hint="eastAsia" w:ascii="仿宋_GB2312" w:hAnsi="仿宋_GB2312" w:eastAsia="仿宋_GB2312" w:cs="仿宋_GB2312"/>
          <w:bCs/>
          <w:sz w:val="28"/>
          <w:szCs w:val="28"/>
          <w:lang w:eastAsia="zh-CN"/>
        </w:rPr>
        <w:t>（项目编号：</w:t>
      </w:r>
      <w:r>
        <w:rPr>
          <w:rFonts w:hint="eastAsia" w:ascii="仿宋_GB2312" w:hAnsi="仿宋_GB2312" w:eastAsia="仿宋_GB2312" w:cs="仿宋_GB2312"/>
          <w:b/>
          <w:bCs/>
          <w:sz w:val="28"/>
          <w:szCs w:val="28"/>
          <w:lang w:eastAsia="zh-CN"/>
        </w:rPr>
        <w:t>SZT2026-SN-XC-ZC-HW-0309</w:t>
      </w:r>
      <w:r>
        <w:rPr>
          <w:rFonts w:hint="eastAsia" w:ascii="仿宋_GB2312" w:hAnsi="仿宋_GB2312" w:eastAsia="仿宋_GB2312" w:cs="仿宋_GB2312"/>
          <w:bCs/>
          <w:sz w:val="28"/>
          <w:szCs w:val="28"/>
          <w:lang w:eastAsia="zh-CN"/>
        </w:rPr>
        <w:t>）</w:t>
      </w:r>
    </w:p>
    <w:p w14:paraId="4D660C6A">
      <w:pPr>
        <w:pStyle w:val="4"/>
        <w:spacing w:before="120" w:beforeLines="50" w:after="120" w:afterLines="50"/>
        <w:jc w:val="center"/>
        <w:rPr>
          <w:rFonts w:ascii="仿宋_GB2312" w:hAnsi="仿宋_GB2312" w:eastAsia="仿宋_GB2312" w:cs="仿宋_GB2312"/>
          <w:b/>
          <w:sz w:val="32"/>
          <w:szCs w:val="32"/>
          <w:u w:val="single"/>
          <w:lang w:eastAsia="zh-CN"/>
        </w:rPr>
      </w:pPr>
    </w:p>
    <w:p w14:paraId="0FF88082">
      <w:pPr>
        <w:rPr>
          <w:rFonts w:ascii="仿宋_GB2312" w:hAnsi="仿宋_GB2312" w:eastAsia="仿宋_GB2312" w:cs="仿宋_GB2312"/>
          <w:lang w:eastAsia="zh-CN"/>
        </w:rPr>
      </w:pPr>
    </w:p>
    <w:p w14:paraId="705B3AB3">
      <w:pPr>
        <w:rPr>
          <w:rFonts w:ascii="仿宋_GB2312" w:hAnsi="仿宋_GB2312" w:eastAsia="仿宋_GB2312" w:cs="仿宋_GB2312"/>
          <w:lang w:eastAsia="zh-CN"/>
        </w:rPr>
      </w:pPr>
    </w:p>
    <w:p w14:paraId="471DE74C">
      <w:pPr>
        <w:rPr>
          <w:rFonts w:ascii="仿宋_GB2312" w:hAnsi="仿宋_GB2312" w:eastAsia="仿宋_GB2312" w:cs="仿宋_GB2312"/>
          <w:lang w:eastAsia="zh-CN"/>
        </w:rPr>
      </w:pPr>
    </w:p>
    <w:p w14:paraId="6CE4237B">
      <w:pPr>
        <w:rPr>
          <w:rFonts w:ascii="仿宋_GB2312" w:hAnsi="仿宋_GB2312" w:eastAsia="仿宋_GB2312" w:cs="仿宋_GB2312"/>
          <w:lang w:eastAsia="zh-CN"/>
        </w:rPr>
      </w:pPr>
    </w:p>
    <w:p w14:paraId="7682C459">
      <w:pPr>
        <w:rPr>
          <w:rFonts w:ascii="仿宋_GB2312" w:hAnsi="仿宋_GB2312" w:eastAsia="仿宋_GB2312" w:cs="仿宋_GB2312"/>
          <w:lang w:eastAsia="zh-CN"/>
        </w:rPr>
      </w:pPr>
    </w:p>
    <w:p w14:paraId="3EF01A5E">
      <w:pPr>
        <w:rPr>
          <w:rFonts w:ascii="仿宋_GB2312" w:hAnsi="仿宋_GB2312" w:eastAsia="仿宋_GB2312" w:cs="仿宋_GB2312"/>
          <w:lang w:eastAsia="zh-CN"/>
        </w:rPr>
      </w:pPr>
    </w:p>
    <w:p w14:paraId="726F04CF">
      <w:pPr>
        <w:spacing w:line="440" w:lineRule="exact"/>
        <w:rPr>
          <w:rFonts w:ascii="仿宋_GB2312" w:hAnsi="仿宋_GB2312" w:eastAsia="仿宋_GB2312" w:cs="仿宋_GB2312"/>
          <w:b/>
          <w:szCs w:val="32"/>
          <w:lang w:eastAsia="zh-CN"/>
        </w:rPr>
      </w:pPr>
    </w:p>
    <w:p w14:paraId="7FC1BBD8">
      <w:pPr>
        <w:pStyle w:val="4"/>
        <w:rPr>
          <w:rFonts w:ascii="仿宋_GB2312" w:hAnsi="仿宋_GB2312" w:eastAsia="仿宋_GB2312" w:cs="仿宋_GB2312"/>
          <w:lang w:eastAsia="zh-CN"/>
        </w:rPr>
      </w:pPr>
    </w:p>
    <w:p w14:paraId="77FA0262">
      <w:pPr>
        <w:pStyle w:val="4"/>
        <w:rPr>
          <w:rFonts w:ascii="仿宋_GB2312" w:hAnsi="仿宋_GB2312" w:eastAsia="仿宋_GB2312" w:cs="仿宋_GB2312"/>
          <w:lang w:eastAsia="zh-CN"/>
        </w:rPr>
      </w:pPr>
    </w:p>
    <w:p w14:paraId="483D90C0">
      <w:pPr>
        <w:pStyle w:val="4"/>
        <w:rPr>
          <w:rFonts w:ascii="仿宋_GB2312" w:hAnsi="仿宋_GB2312" w:eastAsia="仿宋_GB2312" w:cs="仿宋_GB2312"/>
          <w:lang w:eastAsia="zh-CN"/>
        </w:rPr>
      </w:pPr>
    </w:p>
    <w:p w14:paraId="5913F2D6">
      <w:pPr>
        <w:pStyle w:val="4"/>
        <w:rPr>
          <w:rFonts w:ascii="仿宋_GB2312" w:hAnsi="仿宋_GB2312" w:eastAsia="仿宋_GB2312" w:cs="仿宋_GB2312"/>
          <w:lang w:eastAsia="zh-CN"/>
        </w:rPr>
      </w:pPr>
    </w:p>
    <w:p w14:paraId="52BB2546">
      <w:pPr>
        <w:pStyle w:val="4"/>
        <w:rPr>
          <w:rFonts w:ascii="仿宋_GB2312" w:hAnsi="仿宋_GB2312" w:eastAsia="仿宋_GB2312" w:cs="仿宋_GB2312"/>
          <w:lang w:eastAsia="zh-CN"/>
        </w:rPr>
      </w:pPr>
    </w:p>
    <w:p w14:paraId="4BBD8B97">
      <w:pPr>
        <w:pStyle w:val="4"/>
        <w:rPr>
          <w:rFonts w:ascii="仿宋_GB2312" w:hAnsi="仿宋_GB2312" w:eastAsia="仿宋_GB2312" w:cs="仿宋_GB2312"/>
          <w:lang w:eastAsia="zh-CN"/>
        </w:rPr>
      </w:pPr>
    </w:p>
    <w:p w14:paraId="143B7069">
      <w:pPr>
        <w:pStyle w:val="4"/>
        <w:rPr>
          <w:rFonts w:ascii="仿宋_GB2312" w:hAnsi="仿宋_GB2312" w:eastAsia="仿宋_GB2312" w:cs="仿宋_GB2312"/>
          <w:lang w:eastAsia="zh-CN"/>
        </w:rPr>
      </w:pPr>
    </w:p>
    <w:p w14:paraId="49E0246B">
      <w:pPr>
        <w:pStyle w:val="4"/>
        <w:rPr>
          <w:rFonts w:ascii="仿宋_GB2312" w:hAnsi="仿宋_GB2312" w:eastAsia="仿宋_GB2312" w:cs="仿宋_GB2312"/>
          <w:lang w:eastAsia="zh-CN"/>
        </w:rPr>
      </w:pPr>
    </w:p>
    <w:p w14:paraId="51B75F89">
      <w:pPr>
        <w:pStyle w:val="4"/>
        <w:rPr>
          <w:rFonts w:ascii="仿宋_GB2312" w:hAnsi="仿宋_GB2312" w:eastAsia="仿宋_GB2312" w:cs="仿宋_GB2312"/>
          <w:lang w:eastAsia="zh-CN"/>
        </w:rPr>
      </w:pPr>
    </w:p>
    <w:p w14:paraId="2EAFC91B">
      <w:pPr>
        <w:pStyle w:val="4"/>
        <w:rPr>
          <w:rFonts w:ascii="仿宋_GB2312" w:hAnsi="仿宋_GB2312" w:eastAsia="仿宋_GB2312" w:cs="仿宋_GB2312"/>
          <w:lang w:eastAsia="zh-CN"/>
        </w:rPr>
      </w:pPr>
    </w:p>
    <w:p w14:paraId="418A66AA">
      <w:pPr>
        <w:pStyle w:val="4"/>
        <w:rPr>
          <w:rFonts w:ascii="仿宋_GB2312" w:hAnsi="仿宋_GB2312" w:eastAsia="仿宋_GB2312" w:cs="仿宋_GB2312"/>
          <w:lang w:eastAsia="zh-CN"/>
        </w:rPr>
      </w:pPr>
    </w:p>
    <w:p w14:paraId="4C4F194C">
      <w:pPr>
        <w:pStyle w:val="4"/>
        <w:rPr>
          <w:rFonts w:ascii="仿宋_GB2312" w:hAnsi="仿宋_GB2312" w:eastAsia="仿宋_GB2312" w:cs="仿宋_GB2312"/>
          <w:lang w:eastAsia="zh-CN"/>
        </w:rPr>
      </w:pPr>
    </w:p>
    <w:p w14:paraId="5CA93559">
      <w:pPr>
        <w:spacing w:line="360" w:lineRule="auto"/>
        <w:ind w:firstLine="2940" w:firstLineChars="1400"/>
        <w:rPr>
          <w:rFonts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甲  方：西安市疾病预防控制中心</w:t>
      </w:r>
    </w:p>
    <w:p w14:paraId="4C1650D7">
      <w:pPr>
        <w:pStyle w:val="3"/>
        <w:spacing w:line="336" w:lineRule="auto"/>
        <w:ind w:firstLine="2880" w:firstLineChars="1200"/>
        <w:rPr>
          <w:rFonts w:ascii="仿宋_GB2312" w:hAnsi="仿宋_GB2312" w:eastAsia="仿宋_GB2312" w:cs="仿宋_GB2312"/>
          <w:bCs/>
          <w:szCs w:val="32"/>
        </w:rPr>
      </w:pPr>
      <w:r>
        <w:rPr>
          <w:rFonts w:hint="eastAsia" w:ascii="仿宋_GB2312" w:hAnsi="仿宋_GB2312" w:eastAsia="仿宋_GB2312" w:cs="仿宋_GB2312"/>
          <w:bCs/>
          <w:szCs w:val="32"/>
        </w:rPr>
        <w:t>乙  方：xxxxxxxx</w:t>
      </w:r>
    </w:p>
    <w:p w14:paraId="49D04AB0">
      <w:pPr>
        <w:spacing w:line="360" w:lineRule="auto"/>
        <w:ind w:firstLine="2940" w:firstLineChars="1400"/>
        <w:rPr>
          <w:rFonts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鉴证方：陕西中技招标有限公司</w:t>
      </w:r>
    </w:p>
    <w:p w14:paraId="31509EA9">
      <w:pPr>
        <w:spacing w:line="360" w:lineRule="auto"/>
        <w:jc w:val="center"/>
        <w:rPr>
          <w:rFonts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2025年x月</w:t>
      </w:r>
    </w:p>
    <w:p w14:paraId="1B1C13FB">
      <w:pPr>
        <w:pStyle w:val="7"/>
        <w:rPr>
          <w:rFonts w:hint="default" w:ascii="仿宋_GB2312" w:hAnsi="仿宋_GB2312" w:eastAsia="仿宋_GB2312" w:cs="仿宋_GB2312"/>
        </w:rPr>
      </w:pPr>
      <w:r>
        <w:rPr>
          <w:rFonts w:ascii="仿宋_GB2312" w:hAnsi="仿宋_GB2312" w:eastAsia="仿宋_GB2312" w:cs="仿宋_GB2312"/>
          <w:sz w:val="18"/>
          <w:szCs w:val="18"/>
        </w:rPr>
        <w:br w:type="page"/>
      </w:r>
    </w:p>
    <w:p w14:paraId="6F18ADC1">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甲  方：</w:t>
      </w:r>
      <w:r>
        <w:rPr>
          <w:rFonts w:hint="eastAsia" w:ascii="仿宋_GB2312" w:hAnsi="仿宋_GB2312" w:eastAsia="仿宋_GB2312" w:cs="仿宋_GB2312"/>
          <w:b/>
          <w:sz w:val="24"/>
          <w:u w:val="single"/>
          <w:lang w:eastAsia="zh-CN"/>
        </w:rPr>
        <w:t>西安市疾病预防控制中心</w:t>
      </w:r>
    </w:p>
    <w:p w14:paraId="64CE518C">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乙  方：</w:t>
      </w:r>
      <w:r>
        <w:rPr>
          <w:rFonts w:hint="eastAsia" w:ascii="仿宋_GB2312" w:hAnsi="仿宋_GB2312" w:eastAsia="仿宋_GB2312" w:cs="仿宋_GB2312"/>
          <w:b/>
          <w:sz w:val="24"/>
          <w:u w:val="single"/>
          <w:lang w:eastAsia="zh-CN"/>
        </w:rPr>
        <w:t xml:space="preserve">                      </w:t>
      </w:r>
    </w:p>
    <w:p w14:paraId="7573C976">
      <w:pPr>
        <w:tabs>
          <w:tab w:val="left" w:pos="480"/>
        </w:tabs>
        <w:spacing w:line="360" w:lineRule="auto"/>
        <w:ind w:firstLine="480" w:firstLineChars="200"/>
        <w:rPr>
          <w:rFonts w:ascii="仿宋_GB2312" w:hAnsi="仿宋_GB2312" w:eastAsia="仿宋_GB2312" w:cs="仿宋_GB2312"/>
          <w:bCs/>
          <w:sz w:val="24"/>
          <w:lang w:eastAsia="zh-CN"/>
        </w:rPr>
      </w:pPr>
      <w:r>
        <w:rPr>
          <w:rFonts w:hint="eastAsia" w:ascii="仿宋_GB2312" w:hAnsi="仿宋_GB2312" w:eastAsia="仿宋_GB2312" w:cs="仿宋_GB2312"/>
          <w:bCs/>
          <w:sz w:val="24"/>
          <w:lang w:eastAsia="zh-CN"/>
        </w:rPr>
        <w:t>鉴证方：</w:t>
      </w:r>
      <w:r>
        <w:rPr>
          <w:rFonts w:hint="eastAsia" w:ascii="仿宋_GB2312" w:hAnsi="仿宋_GB2312" w:eastAsia="仿宋_GB2312" w:cs="仿宋_GB2312"/>
          <w:b/>
          <w:sz w:val="24"/>
          <w:u w:val="single"/>
          <w:lang w:eastAsia="zh-CN"/>
        </w:rPr>
        <w:t xml:space="preserve">陕西中技招标有限公司 </w:t>
      </w:r>
    </w:p>
    <w:p w14:paraId="4A241643">
      <w:pPr>
        <w:tabs>
          <w:tab w:val="left" w:pos="480"/>
        </w:tabs>
        <w:spacing w:line="360" w:lineRule="auto"/>
        <w:ind w:firstLine="480" w:firstLineChars="200"/>
        <w:rPr>
          <w:rFonts w:ascii="仿宋_GB2312" w:hAnsi="仿宋_GB2312" w:eastAsia="仿宋_GB2312" w:cs="仿宋_GB2312"/>
          <w:bCs/>
          <w:sz w:val="24"/>
          <w:lang w:eastAsia="zh-CN"/>
        </w:rPr>
      </w:pPr>
      <w:r>
        <w:rPr>
          <w:rFonts w:hint="eastAsia" w:ascii="仿宋_GB2312" w:hAnsi="仿宋_GB2312" w:eastAsia="仿宋_GB2312" w:cs="仿宋_GB2312"/>
          <w:bCs/>
          <w:sz w:val="24"/>
          <w:lang w:eastAsia="zh-CN"/>
        </w:rPr>
        <w:t>根据《中华人民共和国政府采购法》及实施条例、《中华人民共和国民法典》和甲方采购项目</w:t>
      </w:r>
      <w:r>
        <w:rPr>
          <w:rFonts w:hint="eastAsia" w:ascii="仿宋_GB2312" w:hAnsi="仿宋_GB2312" w:eastAsia="仿宋_GB2312" w:cs="仿宋_GB2312"/>
          <w:bCs/>
          <w:sz w:val="24"/>
          <w:u w:val="single"/>
          <w:lang w:eastAsia="zh-CN"/>
        </w:rPr>
        <w:t xml:space="preserve">   （项目编号：       </w:t>
      </w:r>
      <w:r>
        <w:rPr>
          <w:rFonts w:hint="eastAsia" w:ascii="仿宋_GB2312" w:hAnsi="仿宋_GB2312" w:eastAsia="仿宋_GB2312" w:cs="仿宋_GB2312"/>
          <w:bCs/>
          <w:sz w:val="24"/>
          <w:lang w:eastAsia="zh-CN"/>
        </w:rPr>
        <w:t>）的磋商文件、投标文件等有关规定，为确保甲方采购项目的顺利实施，甲、乙双方在平等自愿原则下签订本合同，并共同遵守如下条款：</w:t>
      </w:r>
    </w:p>
    <w:p w14:paraId="2649C2C0">
      <w:pPr>
        <w:numPr>
          <w:ilvl w:val="0"/>
          <w:numId w:val="1"/>
        </w:numPr>
        <w:tabs>
          <w:tab w:val="left" w:pos="480"/>
        </w:tabs>
        <w:spacing w:line="360" w:lineRule="auto"/>
        <w:rPr>
          <w:rFonts w:ascii="仿宋_GB2312" w:hAnsi="仿宋_GB2312" w:eastAsia="仿宋_GB2312" w:cs="仿宋_GB2312"/>
          <w:b/>
          <w:sz w:val="24"/>
        </w:rPr>
      </w:pPr>
      <w:r>
        <w:rPr>
          <w:rFonts w:hint="eastAsia" w:ascii="仿宋_GB2312" w:hAnsi="仿宋_GB2312" w:eastAsia="仿宋_GB2312" w:cs="仿宋_GB2312"/>
          <w:b/>
          <w:sz w:val="24"/>
        </w:rPr>
        <w:t>合同标的物内容及数量</w:t>
      </w:r>
    </w:p>
    <w:tbl>
      <w:tblPr>
        <w:tblStyle w:val="5"/>
        <w:tblW w:w="50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196"/>
        <w:gridCol w:w="1338"/>
        <w:gridCol w:w="874"/>
        <w:gridCol w:w="1246"/>
        <w:gridCol w:w="868"/>
        <w:gridCol w:w="801"/>
        <w:gridCol w:w="1008"/>
        <w:gridCol w:w="1128"/>
        <w:gridCol w:w="795"/>
      </w:tblGrid>
      <w:tr w14:paraId="1A75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4C0DCA39">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597" w:type="pct"/>
            <w:tcBorders>
              <w:top w:val="single" w:color="auto" w:sz="4" w:space="0"/>
              <w:left w:val="single" w:color="auto" w:sz="4" w:space="0"/>
              <w:bottom w:val="single" w:color="auto" w:sz="4" w:space="0"/>
              <w:right w:val="single" w:color="auto" w:sz="4" w:space="0"/>
            </w:tcBorders>
            <w:vAlign w:val="center"/>
          </w:tcPr>
          <w:p w14:paraId="2C99817B">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名称</w:t>
            </w:r>
          </w:p>
        </w:tc>
        <w:tc>
          <w:tcPr>
            <w:tcW w:w="668" w:type="pct"/>
            <w:tcBorders>
              <w:top w:val="single" w:color="auto" w:sz="4" w:space="0"/>
              <w:left w:val="single" w:color="auto" w:sz="4" w:space="0"/>
              <w:bottom w:val="single" w:color="auto" w:sz="4" w:space="0"/>
              <w:right w:val="single" w:color="auto" w:sz="4" w:space="0"/>
            </w:tcBorders>
            <w:vAlign w:val="center"/>
          </w:tcPr>
          <w:p w14:paraId="03E5C0A9">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规格型号</w:t>
            </w:r>
          </w:p>
        </w:tc>
        <w:tc>
          <w:tcPr>
            <w:tcW w:w="436" w:type="pct"/>
            <w:tcBorders>
              <w:top w:val="single" w:color="auto" w:sz="4" w:space="0"/>
              <w:left w:val="single" w:color="auto" w:sz="4" w:space="0"/>
              <w:bottom w:val="single" w:color="auto" w:sz="4" w:space="0"/>
              <w:right w:val="single" w:color="auto" w:sz="4" w:space="0"/>
            </w:tcBorders>
            <w:vAlign w:val="center"/>
          </w:tcPr>
          <w:p w14:paraId="292537AD">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产地</w:t>
            </w:r>
          </w:p>
        </w:tc>
        <w:tc>
          <w:tcPr>
            <w:tcW w:w="622" w:type="pct"/>
            <w:tcBorders>
              <w:top w:val="single" w:color="auto" w:sz="4" w:space="0"/>
              <w:left w:val="single" w:color="auto" w:sz="4" w:space="0"/>
              <w:bottom w:val="single" w:color="auto" w:sz="4" w:space="0"/>
              <w:right w:val="single" w:color="auto" w:sz="4" w:space="0"/>
            </w:tcBorders>
            <w:vAlign w:val="center"/>
          </w:tcPr>
          <w:p w14:paraId="01DBF340">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生产厂家</w:t>
            </w:r>
          </w:p>
        </w:tc>
        <w:tc>
          <w:tcPr>
            <w:tcW w:w="433" w:type="pct"/>
            <w:tcBorders>
              <w:top w:val="single" w:color="auto" w:sz="4" w:space="0"/>
              <w:left w:val="single" w:color="auto" w:sz="4" w:space="0"/>
              <w:bottom w:val="single" w:color="auto" w:sz="4" w:space="0"/>
              <w:right w:val="single" w:color="auto" w:sz="4" w:space="0"/>
            </w:tcBorders>
            <w:vAlign w:val="center"/>
          </w:tcPr>
          <w:p w14:paraId="7CDED743">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单位</w:t>
            </w:r>
          </w:p>
        </w:tc>
        <w:tc>
          <w:tcPr>
            <w:tcW w:w="400" w:type="pct"/>
            <w:tcBorders>
              <w:top w:val="single" w:color="auto" w:sz="4" w:space="0"/>
              <w:left w:val="single" w:color="auto" w:sz="4" w:space="0"/>
              <w:bottom w:val="single" w:color="auto" w:sz="4" w:space="0"/>
              <w:right w:val="single" w:color="auto" w:sz="4" w:space="0"/>
            </w:tcBorders>
            <w:vAlign w:val="center"/>
          </w:tcPr>
          <w:p w14:paraId="3D70D367">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数量</w:t>
            </w:r>
          </w:p>
        </w:tc>
        <w:tc>
          <w:tcPr>
            <w:tcW w:w="503" w:type="pct"/>
            <w:tcBorders>
              <w:top w:val="single" w:color="auto" w:sz="4" w:space="0"/>
              <w:left w:val="single" w:color="auto" w:sz="4" w:space="0"/>
              <w:bottom w:val="single" w:color="auto" w:sz="4" w:space="0"/>
              <w:right w:val="single" w:color="auto" w:sz="4" w:space="0"/>
            </w:tcBorders>
            <w:vAlign w:val="center"/>
          </w:tcPr>
          <w:p w14:paraId="39FD5D49">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单价（元）</w:t>
            </w:r>
          </w:p>
        </w:tc>
        <w:tc>
          <w:tcPr>
            <w:tcW w:w="563" w:type="pct"/>
            <w:tcBorders>
              <w:top w:val="single" w:color="auto" w:sz="4" w:space="0"/>
              <w:left w:val="single" w:color="auto" w:sz="4" w:space="0"/>
              <w:bottom w:val="single" w:color="auto" w:sz="4" w:space="0"/>
              <w:right w:val="single" w:color="auto" w:sz="4" w:space="0"/>
            </w:tcBorders>
            <w:vAlign w:val="center"/>
          </w:tcPr>
          <w:p w14:paraId="7E1D26B0">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总价（元）</w:t>
            </w:r>
          </w:p>
        </w:tc>
        <w:tc>
          <w:tcPr>
            <w:tcW w:w="394" w:type="pct"/>
            <w:tcBorders>
              <w:top w:val="single" w:color="auto" w:sz="4" w:space="0"/>
              <w:left w:val="single" w:color="auto" w:sz="4" w:space="0"/>
              <w:bottom w:val="single" w:color="auto" w:sz="4" w:space="0"/>
              <w:right w:val="single" w:color="auto" w:sz="4" w:space="0"/>
            </w:tcBorders>
            <w:vAlign w:val="center"/>
          </w:tcPr>
          <w:p w14:paraId="7EBF4335">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备注</w:t>
            </w:r>
          </w:p>
        </w:tc>
      </w:tr>
      <w:tr w14:paraId="042F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1232CB87">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597" w:type="pct"/>
            <w:tcBorders>
              <w:top w:val="single" w:color="auto" w:sz="4" w:space="0"/>
              <w:left w:val="single" w:color="auto" w:sz="4" w:space="0"/>
              <w:bottom w:val="single" w:color="auto" w:sz="4" w:space="0"/>
              <w:right w:val="single" w:color="auto" w:sz="4" w:space="0"/>
            </w:tcBorders>
            <w:vAlign w:val="center"/>
          </w:tcPr>
          <w:p w14:paraId="336B7A71">
            <w:pPr>
              <w:tabs>
                <w:tab w:val="left" w:pos="480"/>
              </w:tabs>
              <w:jc w:val="center"/>
              <w:rPr>
                <w:rFonts w:ascii="仿宋_GB2312" w:hAnsi="仿宋_GB2312" w:eastAsia="仿宋_GB2312" w:cs="仿宋_GB2312"/>
                <w:sz w:val="24"/>
              </w:rPr>
            </w:pPr>
          </w:p>
        </w:tc>
        <w:tc>
          <w:tcPr>
            <w:tcW w:w="668" w:type="pct"/>
            <w:tcBorders>
              <w:top w:val="single" w:color="auto" w:sz="4" w:space="0"/>
              <w:left w:val="single" w:color="auto" w:sz="4" w:space="0"/>
              <w:bottom w:val="single" w:color="auto" w:sz="4" w:space="0"/>
              <w:right w:val="single" w:color="auto" w:sz="4" w:space="0"/>
            </w:tcBorders>
            <w:vAlign w:val="center"/>
          </w:tcPr>
          <w:p w14:paraId="4DD12779">
            <w:pPr>
              <w:tabs>
                <w:tab w:val="left" w:pos="480"/>
              </w:tabs>
              <w:jc w:val="center"/>
              <w:rPr>
                <w:rFonts w:ascii="仿宋_GB2312" w:hAnsi="仿宋_GB2312" w:eastAsia="仿宋_GB2312" w:cs="仿宋_GB2312"/>
                <w:sz w:val="24"/>
              </w:rPr>
            </w:pPr>
          </w:p>
        </w:tc>
        <w:tc>
          <w:tcPr>
            <w:tcW w:w="436" w:type="pct"/>
            <w:tcBorders>
              <w:top w:val="single" w:color="auto" w:sz="4" w:space="0"/>
              <w:left w:val="single" w:color="auto" w:sz="4" w:space="0"/>
              <w:bottom w:val="single" w:color="auto" w:sz="4" w:space="0"/>
              <w:right w:val="single" w:color="auto" w:sz="4" w:space="0"/>
            </w:tcBorders>
            <w:vAlign w:val="center"/>
          </w:tcPr>
          <w:p w14:paraId="47B39A15">
            <w:pPr>
              <w:tabs>
                <w:tab w:val="left" w:pos="480"/>
              </w:tabs>
              <w:jc w:val="center"/>
              <w:rPr>
                <w:rFonts w:ascii="仿宋_GB2312" w:hAnsi="仿宋_GB2312" w:eastAsia="仿宋_GB2312" w:cs="仿宋_GB2312"/>
                <w:sz w:val="24"/>
              </w:rPr>
            </w:pPr>
          </w:p>
        </w:tc>
        <w:tc>
          <w:tcPr>
            <w:tcW w:w="622" w:type="pct"/>
            <w:tcBorders>
              <w:top w:val="single" w:color="auto" w:sz="4" w:space="0"/>
              <w:left w:val="single" w:color="auto" w:sz="4" w:space="0"/>
              <w:bottom w:val="single" w:color="auto" w:sz="4" w:space="0"/>
              <w:right w:val="single" w:color="auto" w:sz="4" w:space="0"/>
            </w:tcBorders>
            <w:vAlign w:val="center"/>
          </w:tcPr>
          <w:p w14:paraId="3095D221">
            <w:pPr>
              <w:tabs>
                <w:tab w:val="left" w:pos="480"/>
              </w:tabs>
              <w:jc w:val="center"/>
              <w:rPr>
                <w:rFonts w:ascii="仿宋_GB2312" w:hAnsi="仿宋_GB2312" w:eastAsia="仿宋_GB2312" w:cs="仿宋_GB2312"/>
                <w:sz w:val="24"/>
              </w:rPr>
            </w:pPr>
          </w:p>
        </w:tc>
        <w:tc>
          <w:tcPr>
            <w:tcW w:w="433" w:type="pct"/>
            <w:tcBorders>
              <w:top w:val="single" w:color="auto" w:sz="4" w:space="0"/>
              <w:left w:val="single" w:color="auto" w:sz="4" w:space="0"/>
              <w:bottom w:val="single" w:color="auto" w:sz="4" w:space="0"/>
              <w:right w:val="single" w:color="auto" w:sz="4" w:space="0"/>
            </w:tcBorders>
            <w:vAlign w:val="center"/>
          </w:tcPr>
          <w:p w14:paraId="0044EF54">
            <w:pPr>
              <w:tabs>
                <w:tab w:val="left" w:pos="480"/>
              </w:tabs>
              <w:jc w:val="center"/>
              <w:rPr>
                <w:rFonts w:ascii="仿宋_GB2312" w:hAnsi="仿宋_GB2312" w:eastAsia="仿宋_GB2312" w:cs="仿宋_GB2312"/>
                <w:sz w:val="24"/>
              </w:rPr>
            </w:pPr>
          </w:p>
        </w:tc>
        <w:tc>
          <w:tcPr>
            <w:tcW w:w="400" w:type="pct"/>
            <w:tcBorders>
              <w:top w:val="single" w:color="auto" w:sz="4" w:space="0"/>
              <w:left w:val="single" w:color="auto" w:sz="4" w:space="0"/>
              <w:bottom w:val="single" w:color="auto" w:sz="4" w:space="0"/>
              <w:right w:val="single" w:color="auto" w:sz="4" w:space="0"/>
            </w:tcBorders>
            <w:vAlign w:val="center"/>
          </w:tcPr>
          <w:p w14:paraId="3B9373A3">
            <w:pPr>
              <w:tabs>
                <w:tab w:val="left" w:pos="480"/>
              </w:tabs>
              <w:jc w:val="center"/>
              <w:rPr>
                <w:rFonts w:ascii="仿宋_GB2312" w:hAnsi="仿宋_GB2312" w:eastAsia="仿宋_GB2312" w:cs="仿宋_GB2312"/>
                <w:sz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74D8BDA7">
            <w:pPr>
              <w:tabs>
                <w:tab w:val="left" w:pos="480"/>
              </w:tabs>
              <w:jc w:val="center"/>
              <w:rPr>
                <w:rFonts w:ascii="仿宋_GB2312" w:hAnsi="仿宋_GB2312" w:eastAsia="仿宋_GB2312" w:cs="仿宋_GB2312"/>
                <w:sz w:val="24"/>
              </w:rPr>
            </w:pPr>
          </w:p>
        </w:tc>
        <w:tc>
          <w:tcPr>
            <w:tcW w:w="563" w:type="pct"/>
            <w:tcBorders>
              <w:top w:val="single" w:color="auto" w:sz="4" w:space="0"/>
              <w:left w:val="single" w:color="auto" w:sz="4" w:space="0"/>
              <w:bottom w:val="single" w:color="auto" w:sz="4" w:space="0"/>
              <w:right w:val="single" w:color="auto" w:sz="4" w:space="0"/>
            </w:tcBorders>
            <w:vAlign w:val="center"/>
          </w:tcPr>
          <w:p w14:paraId="31B480CA">
            <w:pPr>
              <w:tabs>
                <w:tab w:val="left" w:pos="480"/>
              </w:tabs>
              <w:jc w:val="center"/>
              <w:rPr>
                <w:rFonts w:ascii="仿宋_GB2312" w:hAnsi="仿宋_GB2312" w:eastAsia="仿宋_GB2312" w:cs="仿宋_GB2312"/>
                <w:sz w:val="24"/>
              </w:rPr>
            </w:pPr>
          </w:p>
        </w:tc>
        <w:tc>
          <w:tcPr>
            <w:tcW w:w="394" w:type="pct"/>
            <w:tcBorders>
              <w:top w:val="single" w:color="auto" w:sz="4" w:space="0"/>
              <w:left w:val="single" w:color="auto" w:sz="4" w:space="0"/>
              <w:bottom w:val="single" w:color="auto" w:sz="4" w:space="0"/>
              <w:right w:val="single" w:color="auto" w:sz="4" w:space="0"/>
            </w:tcBorders>
            <w:vAlign w:val="center"/>
          </w:tcPr>
          <w:p w14:paraId="0B42838D">
            <w:pPr>
              <w:tabs>
                <w:tab w:val="left" w:pos="480"/>
              </w:tabs>
              <w:jc w:val="center"/>
              <w:rPr>
                <w:rFonts w:ascii="仿宋_GB2312" w:hAnsi="仿宋_GB2312" w:eastAsia="仿宋_GB2312" w:cs="仿宋_GB2312"/>
                <w:sz w:val="24"/>
              </w:rPr>
            </w:pPr>
          </w:p>
        </w:tc>
      </w:tr>
      <w:tr w14:paraId="5F80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7333378D">
            <w:pPr>
              <w:tabs>
                <w:tab w:val="left" w:pos="480"/>
              </w:tabs>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597" w:type="pct"/>
            <w:tcBorders>
              <w:top w:val="single" w:color="auto" w:sz="4" w:space="0"/>
              <w:left w:val="single" w:color="auto" w:sz="4" w:space="0"/>
              <w:bottom w:val="single" w:color="auto" w:sz="4" w:space="0"/>
              <w:right w:val="single" w:color="auto" w:sz="4" w:space="0"/>
            </w:tcBorders>
            <w:vAlign w:val="center"/>
          </w:tcPr>
          <w:p w14:paraId="2E6B7239">
            <w:pPr>
              <w:tabs>
                <w:tab w:val="left" w:pos="480"/>
              </w:tabs>
              <w:jc w:val="center"/>
              <w:rPr>
                <w:rFonts w:ascii="仿宋_GB2312" w:hAnsi="仿宋_GB2312" w:eastAsia="仿宋_GB2312" w:cs="仿宋_GB2312"/>
                <w:sz w:val="24"/>
              </w:rPr>
            </w:pPr>
          </w:p>
        </w:tc>
        <w:tc>
          <w:tcPr>
            <w:tcW w:w="668" w:type="pct"/>
            <w:tcBorders>
              <w:top w:val="single" w:color="auto" w:sz="4" w:space="0"/>
              <w:left w:val="single" w:color="auto" w:sz="4" w:space="0"/>
              <w:bottom w:val="single" w:color="auto" w:sz="4" w:space="0"/>
              <w:right w:val="single" w:color="auto" w:sz="4" w:space="0"/>
            </w:tcBorders>
            <w:vAlign w:val="center"/>
          </w:tcPr>
          <w:p w14:paraId="4AD36CFD">
            <w:pPr>
              <w:tabs>
                <w:tab w:val="left" w:pos="480"/>
              </w:tabs>
              <w:jc w:val="center"/>
              <w:rPr>
                <w:rFonts w:ascii="仿宋_GB2312" w:hAnsi="仿宋_GB2312" w:eastAsia="仿宋_GB2312" w:cs="仿宋_GB2312"/>
                <w:sz w:val="24"/>
              </w:rPr>
            </w:pPr>
          </w:p>
        </w:tc>
        <w:tc>
          <w:tcPr>
            <w:tcW w:w="436" w:type="pct"/>
            <w:tcBorders>
              <w:top w:val="single" w:color="auto" w:sz="4" w:space="0"/>
              <w:left w:val="single" w:color="auto" w:sz="4" w:space="0"/>
              <w:bottom w:val="single" w:color="auto" w:sz="4" w:space="0"/>
              <w:right w:val="single" w:color="auto" w:sz="4" w:space="0"/>
            </w:tcBorders>
            <w:vAlign w:val="center"/>
          </w:tcPr>
          <w:p w14:paraId="29FFCB5A">
            <w:pPr>
              <w:tabs>
                <w:tab w:val="left" w:pos="480"/>
              </w:tabs>
              <w:jc w:val="center"/>
              <w:rPr>
                <w:rFonts w:ascii="仿宋_GB2312" w:hAnsi="仿宋_GB2312" w:eastAsia="仿宋_GB2312" w:cs="仿宋_GB2312"/>
                <w:sz w:val="24"/>
              </w:rPr>
            </w:pPr>
          </w:p>
        </w:tc>
        <w:tc>
          <w:tcPr>
            <w:tcW w:w="622" w:type="pct"/>
            <w:tcBorders>
              <w:top w:val="single" w:color="auto" w:sz="4" w:space="0"/>
              <w:left w:val="single" w:color="auto" w:sz="4" w:space="0"/>
              <w:bottom w:val="single" w:color="auto" w:sz="4" w:space="0"/>
              <w:right w:val="single" w:color="auto" w:sz="4" w:space="0"/>
            </w:tcBorders>
            <w:vAlign w:val="center"/>
          </w:tcPr>
          <w:p w14:paraId="31A8EB2E">
            <w:pPr>
              <w:tabs>
                <w:tab w:val="left" w:pos="480"/>
              </w:tabs>
              <w:jc w:val="center"/>
              <w:rPr>
                <w:rFonts w:ascii="仿宋_GB2312" w:hAnsi="仿宋_GB2312" w:eastAsia="仿宋_GB2312" w:cs="仿宋_GB2312"/>
                <w:sz w:val="24"/>
              </w:rPr>
            </w:pPr>
          </w:p>
        </w:tc>
        <w:tc>
          <w:tcPr>
            <w:tcW w:w="433" w:type="pct"/>
            <w:tcBorders>
              <w:top w:val="single" w:color="auto" w:sz="4" w:space="0"/>
              <w:left w:val="single" w:color="auto" w:sz="4" w:space="0"/>
              <w:bottom w:val="single" w:color="auto" w:sz="4" w:space="0"/>
              <w:right w:val="single" w:color="auto" w:sz="4" w:space="0"/>
            </w:tcBorders>
            <w:vAlign w:val="center"/>
          </w:tcPr>
          <w:p w14:paraId="0E118117">
            <w:pPr>
              <w:tabs>
                <w:tab w:val="left" w:pos="480"/>
              </w:tabs>
              <w:jc w:val="center"/>
              <w:rPr>
                <w:rFonts w:ascii="仿宋_GB2312" w:hAnsi="仿宋_GB2312" w:eastAsia="仿宋_GB2312" w:cs="仿宋_GB2312"/>
                <w:sz w:val="24"/>
              </w:rPr>
            </w:pPr>
          </w:p>
        </w:tc>
        <w:tc>
          <w:tcPr>
            <w:tcW w:w="400" w:type="pct"/>
            <w:tcBorders>
              <w:top w:val="single" w:color="auto" w:sz="4" w:space="0"/>
              <w:left w:val="single" w:color="auto" w:sz="4" w:space="0"/>
              <w:bottom w:val="single" w:color="auto" w:sz="4" w:space="0"/>
              <w:right w:val="single" w:color="auto" w:sz="4" w:space="0"/>
            </w:tcBorders>
            <w:vAlign w:val="center"/>
          </w:tcPr>
          <w:p w14:paraId="6469EE72">
            <w:pPr>
              <w:tabs>
                <w:tab w:val="left" w:pos="480"/>
              </w:tabs>
              <w:jc w:val="center"/>
              <w:rPr>
                <w:rFonts w:ascii="仿宋_GB2312" w:hAnsi="仿宋_GB2312" w:eastAsia="仿宋_GB2312" w:cs="仿宋_GB2312"/>
                <w:sz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1BF120CB">
            <w:pPr>
              <w:tabs>
                <w:tab w:val="left" w:pos="480"/>
              </w:tabs>
              <w:jc w:val="center"/>
              <w:rPr>
                <w:rFonts w:ascii="仿宋_GB2312" w:hAnsi="仿宋_GB2312" w:eastAsia="仿宋_GB2312" w:cs="仿宋_GB2312"/>
                <w:sz w:val="24"/>
              </w:rPr>
            </w:pPr>
          </w:p>
        </w:tc>
        <w:tc>
          <w:tcPr>
            <w:tcW w:w="563" w:type="pct"/>
            <w:tcBorders>
              <w:top w:val="single" w:color="auto" w:sz="4" w:space="0"/>
              <w:left w:val="single" w:color="auto" w:sz="4" w:space="0"/>
              <w:bottom w:val="single" w:color="auto" w:sz="4" w:space="0"/>
              <w:right w:val="single" w:color="auto" w:sz="4" w:space="0"/>
            </w:tcBorders>
            <w:vAlign w:val="center"/>
          </w:tcPr>
          <w:p w14:paraId="22DAC780">
            <w:pPr>
              <w:tabs>
                <w:tab w:val="left" w:pos="480"/>
              </w:tabs>
              <w:jc w:val="center"/>
              <w:rPr>
                <w:rFonts w:ascii="仿宋_GB2312" w:hAnsi="仿宋_GB2312" w:eastAsia="仿宋_GB2312" w:cs="仿宋_GB2312"/>
                <w:sz w:val="24"/>
              </w:rPr>
            </w:pPr>
          </w:p>
        </w:tc>
        <w:tc>
          <w:tcPr>
            <w:tcW w:w="394" w:type="pct"/>
            <w:tcBorders>
              <w:top w:val="single" w:color="auto" w:sz="4" w:space="0"/>
              <w:left w:val="single" w:color="auto" w:sz="4" w:space="0"/>
              <w:bottom w:val="single" w:color="auto" w:sz="4" w:space="0"/>
              <w:right w:val="single" w:color="auto" w:sz="4" w:space="0"/>
            </w:tcBorders>
            <w:vAlign w:val="center"/>
          </w:tcPr>
          <w:p w14:paraId="5676B2CC">
            <w:pPr>
              <w:tabs>
                <w:tab w:val="left" w:pos="480"/>
              </w:tabs>
              <w:jc w:val="center"/>
              <w:rPr>
                <w:rFonts w:ascii="仿宋_GB2312" w:hAnsi="仿宋_GB2312" w:eastAsia="仿宋_GB2312" w:cs="仿宋_GB2312"/>
                <w:sz w:val="24"/>
              </w:rPr>
            </w:pPr>
          </w:p>
        </w:tc>
      </w:tr>
      <w:tr w14:paraId="1906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2726E579">
            <w:pPr>
              <w:tabs>
                <w:tab w:val="left" w:pos="480"/>
              </w:tabs>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合计：</w:t>
            </w:r>
            <w:r>
              <w:rPr>
                <w:rFonts w:hint="eastAsia" w:ascii="仿宋_GB2312" w:hAnsi="仿宋_GB2312" w:eastAsia="仿宋_GB2312" w:cs="仿宋_GB2312"/>
                <w:b/>
                <w:bCs/>
                <w:sz w:val="24"/>
                <w:lang w:eastAsia="zh-CN"/>
              </w:rPr>
              <w:t>人民币（大写）：         元整  （¥:      元）</w:t>
            </w:r>
          </w:p>
        </w:tc>
      </w:tr>
    </w:tbl>
    <w:p w14:paraId="3CA28421">
      <w:pPr>
        <w:tabs>
          <w:tab w:val="left" w:pos="480"/>
        </w:tabs>
        <w:spacing w:line="300" w:lineRule="auto"/>
        <w:ind w:firstLine="482" w:firstLineChars="200"/>
        <w:rPr>
          <w:rFonts w:ascii="仿宋_GB2312" w:hAnsi="仿宋_GB2312" w:eastAsia="仿宋_GB2312" w:cs="仿宋_GB2312"/>
          <w:b/>
          <w:sz w:val="24"/>
          <w:lang w:eastAsia="zh-CN"/>
        </w:rPr>
      </w:pPr>
      <w:r>
        <w:rPr>
          <w:rFonts w:hint="eastAsia" w:ascii="仿宋_GB2312" w:hAnsi="仿宋_GB2312" w:eastAsia="仿宋_GB2312" w:cs="仿宋_GB2312"/>
          <w:b/>
          <w:sz w:val="24"/>
          <w:lang w:eastAsia="zh-CN"/>
        </w:rPr>
        <w:t>二、合同价款</w:t>
      </w:r>
    </w:p>
    <w:p w14:paraId="187C67ED">
      <w:pPr>
        <w:tabs>
          <w:tab w:val="left" w:pos="480"/>
        </w:tabs>
        <w:spacing w:line="300" w:lineRule="auto"/>
        <w:ind w:firstLine="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（一）合同总价款为人民币（大写）</w:t>
      </w:r>
      <w:r>
        <w:rPr>
          <w:rFonts w:hint="eastAsia" w:ascii="仿宋_GB2312" w:hAnsi="仿宋_GB2312" w:eastAsia="仿宋_GB2312" w:cs="仿宋_GB2312"/>
          <w:sz w:val="24"/>
          <w:u w:val="single"/>
          <w:lang w:eastAsia="zh-CN"/>
        </w:rPr>
        <w:t>：        元整（¥          元）</w:t>
      </w:r>
      <w:r>
        <w:rPr>
          <w:rFonts w:hint="eastAsia" w:ascii="仿宋_GB2312" w:hAnsi="仿宋_GB2312" w:eastAsia="仿宋_GB2312" w:cs="仿宋_GB2312"/>
          <w:sz w:val="24"/>
          <w:lang w:eastAsia="zh-CN"/>
        </w:rPr>
        <w:t>。</w:t>
      </w:r>
    </w:p>
    <w:p w14:paraId="59326D85">
      <w:pPr>
        <w:tabs>
          <w:tab w:val="left" w:pos="480"/>
        </w:tabs>
        <w:spacing w:line="300" w:lineRule="auto"/>
        <w:ind w:firstLine="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（二）合同总价包括：货物费、运输费（含保险费）、装卸费、检测验收、税金（含关税）培训费、技术服务及其它费用。</w:t>
      </w:r>
    </w:p>
    <w:p w14:paraId="7AD91192">
      <w:pPr>
        <w:tabs>
          <w:tab w:val="left" w:pos="480"/>
        </w:tabs>
        <w:spacing w:line="300" w:lineRule="auto"/>
        <w:ind w:firstLine="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（三）合同总价一次性包死，不受市场价格变化因素的影响。</w:t>
      </w:r>
    </w:p>
    <w:p w14:paraId="1934D45E">
      <w:pPr>
        <w:tabs>
          <w:tab w:val="left" w:pos="480"/>
        </w:tabs>
        <w:spacing w:line="30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sz w:val="24"/>
          <w:lang w:eastAsia="zh-CN"/>
        </w:rPr>
        <w:t>三、款项结算</w:t>
      </w:r>
    </w:p>
    <w:p w14:paraId="62FFD08A">
      <w:pPr>
        <w:spacing w:line="300" w:lineRule="auto"/>
        <w:ind w:firstLine="480" w:firstLineChars="200"/>
        <w:rPr>
          <w:rFonts w:ascii="仿宋_GB2312" w:hAnsi="仿宋_GB2312" w:eastAsia="仿宋_GB2312" w:cs="仿宋_GB2312"/>
          <w:sz w:val="24"/>
          <w:highlight w:val="none"/>
          <w:lang w:eastAsia="zh-CN"/>
        </w:rPr>
      </w:pPr>
      <w:bookmarkStart w:id="0" w:name="_GoBack"/>
      <w:r>
        <w:rPr>
          <w:rFonts w:hint="eastAsia" w:ascii="仿宋_GB2312" w:hAnsi="仿宋_GB2312" w:eastAsia="仿宋_GB2312" w:cs="仿宋_GB2312"/>
          <w:sz w:val="24"/>
          <w:highlight w:val="none"/>
          <w:lang w:eastAsia="zh-CN"/>
        </w:rPr>
        <w:t>合同签订后，乙方须按其投标文件中响应的供货期按时交货并提供全额合规发票，保证“货票同行”。货物到达甲方指定地点，验收合格后，达到付款条件起30日内，支付合同金额的100%，即人民币（大写）：</w:t>
      </w:r>
      <w:r>
        <w:rPr>
          <w:rFonts w:hint="eastAsia" w:ascii="仿宋_GB2312" w:hAnsi="仿宋_GB2312" w:eastAsia="仿宋_GB2312" w:cs="仿宋_GB2312"/>
          <w:sz w:val="24"/>
          <w:highlight w:val="none"/>
          <w:u w:val="single"/>
          <w:lang w:eastAsia="zh-CN"/>
        </w:rPr>
        <w:t xml:space="preserve">         </w:t>
      </w:r>
      <w:r>
        <w:rPr>
          <w:rFonts w:hint="eastAsia" w:ascii="仿宋_GB2312" w:hAnsi="仿宋_GB2312" w:eastAsia="仿宋_GB2312" w:cs="仿宋_GB2312"/>
          <w:sz w:val="24"/>
          <w:highlight w:val="none"/>
          <w:lang w:eastAsia="zh-CN"/>
        </w:rPr>
        <w:t>元整（¥</w:t>
      </w:r>
      <w:r>
        <w:rPr>
          <w:rFonts w:hint="eastAsia" w:ascii="仿宋_GB2312" w:hAnsi="仿宋_GB2312" w:eastAsia="仿宋_GB2312" w:cs="仿宋_GB2312"/>
          <w:sz w:val="24"/>
          <w:highlight w:val="none"/>
          <w:u w:val="single"/>
          <w:lang w:eastAsia="zh-CN"/>
        </w:rPr>
        <w:t xml:space="preserve">         </w:t>
      </w:r>
      <w:r>
        <w:rPr>
          <w:rFonts w:hint="eastAsia" w:ascii="仿宋_GB2312" w:hAnsi="仿宋_GB2312" w:eastAsia="仿宋_GB2312" w:cs="仿宋_GB2312"/>
          <w:sz w:val="24"/>
          <w:highlight w:val="none"/>
          <w:lang w:eastAsia="zh-CN"/>
        </w:rPr>
        <w:t>元）。</w:t>
      </w:r>
    </w:p>
    <w:p w14:paraId="3FFB0C92">
      <w:pPr>
        <w:spacing w:line="300" w:lineRule="auto"/>
        <w:ind w:firstLine="482" w:firstLineChars="200"/>
        <w:rPr>
          <w:rFonts w:ascii="仿宋_GB2312" w:hAnsi="仿宋_GB2312" w:eastAsia="仿宋_GB2312" w:cs="仿宋_GB2312"/>
          <w:b/>
          <w:sz w:val="24"/>
          <w:lang w:eastAsia="zh-CN"/>
        </w:rPr>
      </w:pPr>
      <w:r>
        <w:rPr>
          <w:rFonts w:hint="eastAsia" w:ascii="仿宋_GB2312" w:hAnsi="仿宋_GB2312" w:eastAsia="仿宋_GB2312" w:cs="仿宋_GB2312"/>
          <w:b/>
          <w:sz w:val="24"/>
          <w:highlight w:val="none"/>
          <w:lang w:eastAsia="zh-CN"/>
        </w:rPr>
        <w:t>四、</w:t>
      </w:r>
      <w:bookmarkEnd w:id="0"/>
      <w:r>
        <w:rPr>
          <w:rFonts w:hint="eastAsia" w:ascii="仿宋_GB2312" w:hAnsi="仿宋_GB2312" w:eastAsia="仿宋_GB2312" w:cs="仿宋_GB2312"/>
          <w:b/>
          <w:sz w:val="24"/>
          <w:lang w:eastAsia="zh-CN"/>
        </w:rPr>
        <w:t>交货条件：</w:t>
      </w:r>
    </w:p>
    <w:p w14:paraId="120C771B">
      <w:pPr>
        <w:tabs>
          <w:tab w:val="left" w:pos="480"/>
        </w:tabs>
        <w:spacing w:line="300" w:lineRule="auto"/>
        <w:ind w:firstLine="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（一）交货地点：西安市疾病预防控制中心指定地点。</w:t>
      </w:r>
    </w:p>
    <w:p w14:paraId="70A6C3ED">
      <w:pPr>
        <w:tabs>
          <w:tab w:val="left" w:pos="480"/>
        </w:tabs>
        <w:spacing w:line="300" w:lineRule="auto"/>
        <w:ind w:firstLine="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（二）交货期：合同签订完毕，甲方下达供货通知后30天内完成供货及验收。</w:t>
      </w:r>
    </w:p>
    <w:p w14:paraId="69E35CD9">
      <w:pPr>
        <w:tabs>
          <w:tab w:val="left" w:pos="480"/>
        </w:tabs>
        <w:spacing w:line="300" w:lineRule="auto"/>
        <w:ind w:firstLine="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（三）有效期： 。</w:t>
      </w:r>
    </w:p>
    <w:p w14:paraId="6D0D9E43">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五、运输</w:t>
      </w:r>
    </w:p>
    <w:p w14:paraId="09ADED24">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（一）运输由乙方负责，运杂费已包含在合同总价内，包括从货物供应地点至交货地点所含的运输费、装卸费、仓储费、保险费等。</w:t>
      </w:r>
    </w:p>
    <w:p w14:paraId="59619977">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（二）运输方式由乙方自行选择，但必须保证按期交货。</w:t>
      </w:r>
    </w:p>
    <w:p w14:paraId="2941FFF0">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（三）因运输产生的一切风险及质量问题均由乙方承担。</w:t>
      </w:r>
    </w:p>
    <w:p w14:paraId="09FE1AE7">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四）涉及的商品包装和快递包装，均应符合《商品包装政府采购需求标准（试行）》《快递包装政府采购需求标准（试行）》的要求，包装应适应于远距离运输、防潮、防震、防锈和防野蛮装卸，以确保货物安全无损运抵指定地点。</w:t>
      </w:r>
    </w:p>
    <w:p w14:paraId="52428FBE">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六、质量保证</w:t>
      </w:r>
    </w:p>
    <w:p w14:paraId="1C8C2698">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乙方保证合同项下所供货物是合同规定厂家供货生产的，全新未使用过的，并完全符合合同规定的质量、规格等要求。提供的货物必须保证质量可靠，进货渠道正常，全面满足招标内容的要求，磋商文件未明确要求的内容，乙方均按甲方的补充要求为准。所供货物工艺质量应严格按国家最新发布的规范标准执行，如发生质量问题由乙方承担全部责任。</w:t>
      </w:r>
    </w:p>
    <w:p w14:paraId="0E924C97">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七、售后服务</w:t>
      </w:r>
    </w:p>
    <w:p w14:paraId="501A25D5">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乙方为甲方所供货物须提供以下售后服务：</w:t>
      </w:r>
    </w:p>
    <w:p w14:paraId="278A8CF3">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（一）自货物验收合格之日起计算,质保不少于</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lang w:eastAsia="zh-CN"/>
        </w:rPr>
        <w:t>个月。</w:t>
      </w:r>
    </w:p>
    <w:p w14:paraId="08CF4AFE">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（二）在质量保证期内，乙方对由于设计、工艺或材料的缺陷或运输、保存而产生的事故负责（负责解决并承担全部费用）。</w:t>
      </w:r>
    </w:p>
    <w:p w14:paraId="32DDF7E9">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八、技术与服务</w:t>
      </w:r>
    </w:p>
    <w:p w14:paraId="44DE1071">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（一）技术资料：</w:t>
      </w:r>
    </w:p>
    <w:p w14:paraId="7D04CE0D">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1.操作使用说明和保存条件。</w:t>
      </w:r>
    </w:p>
    <w:p w14:paraId="1088FA5A">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2.制造厂商的检验、测试报告、检验合格证书，质量保证书等文件须验收时一并提供。</w:t>
      </w:r>
    </w:p>
    <w:p w14:paraId="3AFE5A10">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3.货物验收标准      </w:t>
      </w:r>
    </w:p>
    <w:p w14:paraId="7700BD57">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4.使用说明书                </w:t>
      </w:r>
    </w:p>
    <w:p w14:paraId="04995EAF">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5.必须的其它技术资料。      </w:t>
      </w:r>
    </w:p>
    <w:p w14:paraId="1BB20A8E">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6.合同中要求的其他文件资料</w:t>
      </w:r>
    </w:p>
    <w:p w14:paraId="1F8ABE25">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（二）服务承诺：以投标文件、澄清表（函）、合同和随货物的相关文件为准。</w:t>
      </w:r>
    </w:p>
    <w:p w14:paraId="23909643">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九、验收</w:t>
      </w:r>
    </w:p>
    <w:p w14:paraId="7B1AD3F6">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由甲方和乙方共同对货物进行验收。其内容包括确认货物的包装、产地、规格、型号和数量，对其货物技术指标、性能参数进行逐项核验。</w:t>
      </w:r>
    </w:p>
    <w:p w14:paraId="2BF5DA45">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1.验收货物的指标、性能参数通过验收达到合同要求，或出现甲方不能正常使用的情况，将视为验收不合格，乙方应及时更换或退货。</w:t>
      </w:r>
    </w:p>
    <w:p w14:paraId="2815A81D">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2.若发现乙方有弄虚作假的，故意或随意夸大货物技术性能，甲方除要求退货外，有权要求乙方赔偿甲方相应的损失。</w:t>
      </w:r>
    </w:p>
    <w:p w14:paraId="16119FD9">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3.验收标准：按合同文件及澄清等技术指标进行验收。货物的各项指标均应符合验收标准及要求。</w:t>
      </w:r>
    </w:p>
    <w:p w14:paraId="3CB014C3">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4.验收合格后，填写验收单，甲方签字后生效。                </w:t>
      </w:r>
    </w:p>
    <w:p w14:paraId="2151E2CC">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5.验收依据：                                                    </w:t>
      </w:r>
    </w:p>
    <w:p w14:paraId="3ECC14FA">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5.1本合同文本：                                                                         </w:t>
      </w:r>
    </w:p>
    <w:p w14:paraId="620424EC">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5.2国家和行业制定的相应的标准和规范。                          </w:t>
      </w:r>
    </w:p>
    <w:p w14:paraId="2A4ED0D0">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5.3验收清单（注明品名、数量、价格、规格型号、产地和生产厂家）。</w:t>
      </w:r>
    </w:p>
    <w:p w14:paraId="517FD3C3">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十、违约责任</w:t>
      </w:r>
    </w:p>
    <w:p w14:paraId="308F80B2">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（一）按《民法典》中的相关条款执行。</w:t>
      </w:r>
    </w:p>
    <w:p w14:paraId="0FFFBC6C">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14:paraId="7AC10226">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1.乙方赔偿甲方解除合同的全部损失（包括但不限于重新采购产生的费用、合同未履行导致货物不能按规划交付使用可能产生的由此造成的甲方对第三方的违约损失）；</w:t>
      </w:r>
    </w:p>
    <w:p w14:paraId="74BEE477">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2.乙方支付甲方违约金，违约金计算方法：以合同总价为基数，支付甲方合同总价的30%为违约金。同时对乙方的违约行为报监管机构进行相应的处罚。</w:t>
      </w:r>
    </w:p>
    <w:p w14:paraId="4954696D">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三）乙方不能按期交货，每延迟一天，应向甲方支付不能交货部分货款1‰的违约金。甲方有权从应付货款中扣除违约金。逾期交货超过20天，甲方有权单方解除合同，自甲方合同解除通知送达之日，合同解除生效，乙方应按合同价的30%向甲方支付违约金。</w:t>
      </w:r>
    </w:p>
    <w:p w14:paraId="15D3CC9B">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十一、合同争议解决的方式</w:t>
      </w:r>
    </w:p>
    <w:p w14:paraId="5F6FAB0C">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本合同在履行过程中发生的争议，由甲、乙双方当事人协商解决，协商不成的依法向甲方所在地人民法院起诉。</w:t>
      </w:r>
    </w:p>
    <w:p w14:paraId="2E1776A4">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十二、合同生效</w:t>
      </w:r>
    </w:p>
    <w:p w14:paraId="0D5967CF">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本合同一式柒份，甲方伍份，乙方壹份，鉴证方壹份，本合同经甲方、乙方和鉴证方签字盖章后生效，质保期结束后，自动终止（但合同的服务承诺除外）。</w:t>
      </w:r>
    </w:p>
    <w:p w14:paraId="0FEC2E99">
      <w:pPr>
        <w:tabs>
          <w:tab w:val="left" w:pos="480"/>
        </w:tabs>
        <w:spacing w:line="30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十三、其他事项</w:t>
      </w:r>
    </w:p>
    <w:p w14:paraId="3ACB1A1C">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（一）西安市财政局政府采购管理处在合同的履行期间以及履行期后，可以随时检查项目的执行情况，对采购内容、标准进行调查核实，并对发现的问题进行处理。</w:t>
      </w:r>
    </w:p>
    <w:p w14:paraId="515EB819">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（二）磋商文件、投标文件、澄清表（函）、中标通知书、合同附件均成为合同不可分割的部分。</w:t>
      </w:r>
    </w:p>
    <w:p w14:paraId="0E1D0C2B">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（三）合同未尽事宜，由甲、乙双方协商，经见证方确认后，签订补充协议，与原合同具有同等法律效力。</w:t>
      </w:r>
    </w:p>
    <w:p w14:paraId="3EBF7092">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（四）合同一经签订，不得擅自变更、中止或终止合同。对确需变更、调整或中止、终止合同的，有法律规定的按照法律规定，除合同约定外，由甲乙双方再行协商，协商一致前，原合同或条款继续履行。</w:t>
      </w:r>
    </w:p>
    <w:p w14:paraId="522A2FDD">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（五）本合同按照中华人民共和国的现行法律进行解释。</w:t>
      </w:r>
    </w:p>
    <w:p w14:paraId="1DD1A411">
      <w:pPr>
        <w:tabs>
          <w:tab w:val="left" w:pos="480"/>
        </w:tabs>
        <w:spacing w:line="30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（六）本合同附件作为本合同的组成部分，与本合同具有同等法律效力。</w:t>
      </w:r>
    </w:p>
    <w:p w14:paraId="52FCBAD1">
      <w:pPr>
        <w:tabs>
          <w:tab w:val="left" w:pos="480"/>
        </w:tabs>
        <w:spacing w:line="300" w:lineRule="auto"/>
        <w:ind w:firstLine="200"/>
        <w:rPr>
          <w:rFonts w:ascii="仿宋_GB2312" w:hAnsi="仿宋_GB2312" w:eastAsia="仿宋_GB2312" w:cs="仿宋_GB2312"/>
          <w:sz w:val="24"/>
        </w:rPr>
      </w:pPr>
      <w:r>
        <w:rPr>
          <w:rFonts w:hint="eastAsia" w:ascii="仿宋_GB2312" w:hAnsi="仿宋_GB2312" w:eastAsia="仿宋_GB2312" w:cs="仿宋_GB2312"/>
          <w:sz w:val="24"/>
        </w:rPr>
        <w:t>（以下无正文）</w:t>
      </w:r>
    </w:p>
    <w:p w14:paraId="39913AB4">
      <w:pPr>
        <w:rPr>
          <w:rFonts w:ascii="仿宋_GB2312" w:hAnsi="仿宋_GB2312" w:eastAsia="仿宋_GB2312" w:cs="仿宋_GB2312"/>
          <w:sz w:val="24"/>
        </w:rPr>
      </w:pPr>
    </w:p>
    <w:p w14:paraId="35C7AC0E">
      <w:pPr>
        <w:rPr>
          <w:rFonts w:ascii="仿宋_GB2312" w:hAnsi="仿宋_GB2312" w:eastAsia="仿宋_GB2312" w:cs="仿宋_GB2312"/>
          <w:sz w:val="24"/>
        </w:rPr>
      </w:pPr>
    </w:p>
    <w:p w14:paraId="6E4D9702">
      <w:pPr>
        <w:rPr>
          <w:rFonts w:ascii="仿宋_GB2312" w:hAnsi="仿宋_GB2312" w:eastAsia="仿宋_GB2312" w:cs="仿宋_GB2312"/>
          <w:sz w:val="24"/>
        </w:rPr>
      </w:pPr>
    </w:p>
    <w:p w14:paraId="4B7EF653">
      <w:pPr>
        <w:rPr>
          <w:rFonts w:ascii="仿宋_GB2312" w:hAnsi="仿宋_GB2312" w:eastAsia="仿宋_GB2312" w:cs="仿宋_GB2312"/>
          <w:sz w:val="24"/>
        </w:rPr>
      </w:pPr>
    </w:p>
    <w:p w14:paraId="1F21A986">
      <w:pPr>
        <w:rPr>
          <w:rFonts w:ascii="仿宋_GB2312" w:hAnsi="仿宋_GB2312" w:eastAsia="仿宋_GB2312" w:cs="仿宋_GB2312"/>
          <w:sz w:val="24"/>
        </w:rPr>
      </w:pPr>
    </w:p>
    <w:p w14:paraId="712B8DA5">
      <w:pPr>
        <w:tabs>
          <w:tab w:val="left" w:pos="480"/>
        </w:tabs>
        <w:spacing w:line="300" w:lineRule="auto"/>
        <w:ind w:firstLine="200"/>
        <w:rPr>
          <w:rFonts w:ascii="仿宋_GB2312" w:hAnsi="仿宋_GB2312" w:eastAsia="仿宋_GB2312" w:cs="仿宋_GB2312"/>
          <w:sz w:val="24"/>
        </w:rPr>
      </w:pPr>
    </w:p>
    <w:tbl>
      <w:tblPr>
        <w:tblStyle w:val="5"/>
        <w:tblW w:w="0" w:type="auto"/>
        <w:tblInd w:w="108" w:type="dxa"/>
        <w:tblLayout w:type="autofit"/>
        <w:tblCellMar>
          <w:top w:w="0" w:type="dxa"/>
          <w:left w:w="108" w:type="dxa"/>
          <w:bottom w:w="0" w:type="dxa"/>
          <w:right w:w="108" w:type="dxa"/>
        </w:tblCellMar>
      </w:tblPr>
      <w:tblGrid>
        <w:gridCol w:w="4657"/>
        <w:gridCol w:w="4655"/>
      </w:tblGrid>
      <w:tr w14:paraId="6A099631">
        <w:tblPrEx>
          <w:tblCellMar>
            <w:top w:w="0" w:type="dxa"/>
            <w:left w:w="108" w:type="dxa"/>
            <w:bottom w:w="0" w:type="dxa"/>
            <w:right w:w="108" w:type="dxa"/>
          </w:tblCellMar>
        </w:tblPrEx>
        <w:tc>
          <w:tcPr>
            <w:tcW w:w="4657" w:type="dxa"/>
            <w:vAlign w:val="center"/>
          </w:tcPr>
          <w:p w14:paraId="785C2D07">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甲  方（法人公章）</w:t>
            </w:r>
          </w:p>
        </w:tc>
        <w:tc>
          <w:tcPr>
            <w:tcW w:w="4655" w:type="dxa"/>
            <w:vAlign w:val="center"/>
          </w:tcPr>
          <w:p w14:paraId="79500870">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乙  方（法人公章）</w:t>
            </w:r>
          </w:p>
        </w:tc>
      </w:tr>
      <w:tr w14:paraId="6725B39A">
        <w:tblPrEx>
          <w:tblCellMar>
            <w:top w:w="0" w:type="dxa"/>
            <w:left w:w="108" w:type="dxa"/>
            <w:bottom w:w="0" w:type="dxa"/>
            <w:right w:w="108" w:type="dxa"/>
          </w:tblCellMar>
        </w:tblPrEx>
        <w:tc>
          <w:tcPr>
            <w:tcW w:w="4657" w:type="dxa"/>
            <w:vAlign w:val="center"/>
          </w:tcPr>
          <w:p w14:paraId="6348E673">
            <w:pPr>
              <w:tabs>
                <w:tab w:val="left" w:pos="480"/>
              </w:tabs>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单位名称：西安市疾病预防控制中心</w:t>
            </w:r>
          </w:p>
        </w:tc>
        <w:tc>
          <w:tcPr>
            <w:tcW w:w="4655" w:type="dxa"/>
            <w:vAlign w:val="center"/>
          </w:tcPr>
          <w:p w14:paraId="6D22272A">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单位名称: </w:t>
            </w:r>
          </w:p>
        </w:tc>
      </w:tr>
      <w:tr w14:paraId="40C5CD9C">
        <w:tblPrEx>
          <w:tblCellMar>
            <w:top w:w="0" w:type="dxa"/>
            <w:left w:w="108" w:type="dxa"/>
            <w:bottom w:w="0" w:type="dxa"/>
            <w:right w:w="108" w:type="dxa"/>
          </w:tblCellMar>
        </w:tblPrEx>
        <w:tc>
          <w:tcPr>
            <w:tcW w:w="4657" w:type="dxa"/>
            <w:vAlign w:val="center"/>
          </w:tcPr>
          <w:p w14:paraId="4DB1ABB6">
            <w:pPr>
              <w:tabs>
                <w:tab w:val="left" w:pos="480"/>
              </w:tabs>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地  址：西安市雁塔区西影路599号</w:t>
            </w:r>
          </w:p>
        </w:tc>
        <w:tc>
          <w:tcPr>
            <w:tcW w:w="4655" w:type="dxa"/>
            <w:vAlign w:val="center"/>
          </w:tcPr>
          <w:p w14:paraId="43D1AD4B">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地址： </w:t>
            </w:r>
          </w:p>
        </w:tc>
      </w:tr>
      <w:tr w14:paraId="15969DF9">
        <w:tblPrEx>
          <w:tblCellMar>
            <w:top w:w="0" w:type="dxa"/>
            <w:left w:w="108" w:type="dxa"/>
            <w:bottom w:w="0" w:type="dxa"/>
            <w:right w:w="108" w:type="dxa"/>
          </w:tblCellMar>
        </w:tblPrEx>
        <w:trPr>
          <w:trHeight w:val="579" w:hRule="atLeast"/>
        </w:trPr>
        <w:tc>
          <w:tcPr>
            <w:tcW w:w="4657" w:type="dxa"/>
            <w:vAlign w:val="center"/>
          </w:tcPr>
          <w:p w14:paraId="7ECB2DE0">
            <w:pPr>
              <w:tabs>
                <w:tab w:val="left" w:pos="480"/>
              </w:tabs>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法定代表人：（签字）</w:t>
            </w:r>
          </w:p>
        </w:tc>
        <w:tc>
          <w:tcPr>
            <w:tcW w:w="4655" w:type="dxa"/>
            <w:vAlign w:val="center"/>
          </w:tcPr>
          <w:p w14:paraId="26193523">
            <w:pPr>
              <w:tabs>
                <w:tab w:val="left" w:pos="480"/>
              </w:tabs>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法定代表人或代理人：（签字）</w:t>
            </w:r>
          </w:p>
        </w:tc>
      </w:tr>
      <w:tr w14:paraId="4C36493F">
        <w:tblPrEx>
          <w:tblCellMar>
            <w:top w:w="0" w:type="dxa"/>
            <w:left w:w="108" w:type="dxa"/>
            <w:bottom w:w="0" w:type="dxa"/>
            <w:right w:w="108" w:type="dxa"/>
          </w:tblCellMar>
        </w:tblPrEx>
        <w:tc>
          <w:tcPr>
            <w:tcW w:w="4657" w:type="dxa"/>
            <w:vAlign w:val="center"/>
          </w:tcPr>
          <w:p w14:paraId="13019455">
            <w:pPr>
              <w:tabs>
                <w:tab w:val="left" w:pos="480"/>
              </w:tabs>
              <w:spacing w:line="360" w:lineRule="auto"/>
              <w:rPr>
                <w:rFonts w:ascii="仿宋_GB2312" w:hAnsi="仿宋_GB2312" w:eastAsia="仿宋_GB2312" w:cs="仿宋_GB2312"/>
                <w:sz w:val="24"/>
                <w:lang w:eastAsia="zh-CN"/>
              </w:rPr>
            </w:pPr>
          </w:p>
        </w:tc>
        <w:tc>
          <w:tcPr>
            <w:tcW w:w="4655" w:type="dxa"/>
            <w:vAlign w:val="center"/>
          </w:tcPr>
          <w:p w14:paraId="11BE3599">
            <w:pPr>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开户银行: </w:t>
            </w:r>
          </w:p>
        </w:tc>
      </w:tr>
      <w:tr w14:paraId="3F01353C">
        <w:tblPrEx>
          <w:tblCellMar>
            <w:top w:w="0" w:type="dxa"/>
            <w:left w:w="108" w:type="dxa"/>
            <w:bottom w:w="0" w:type="dxa"/>
            <w:right w:w="108" w:type="dxa"/>
          </w:tblCellMar>
        </w:tblPrEx>
        <w:trPr>
          <w:trHeight w:val="507" w:hRule="atLeast"/>
        </w:trPr>
        <w:tc>
          <w:tcPr>
            <w:tcW w:w="4657" w:type="dxa"/>
            <w:vAlign w:val="center"/>
          </w:tcPr>
          <w:p w14:paraId="0CFBCB92">
            <w:pPr>
              <w:tabs>
                <w:tab w:val="left" w:pos="480"/>
              </w:tabs>
              <w:spacing w:line="360" w:lineRule="auto"/>
              <w:rPr>
                <w:rFonts w:ascii="仿宋_GB2312" w:hAnsi="仿宋_GB2312" w:eastAsia="仿宋_GB2312" w:cs="仿宋_GB2312"/>
                <w:sz w:val="24"/>
              </w:rPr>
            </w:pPr>
          </w:p>
        </w:tc>
        <w:tc>
          <w:tcPr>
            <w:tcW w:w="4655" w:type="dxa"/>
            <w:vAlign w:val="center"/>
          </w:tcPr>
          <w:p w14:paraId="7FFF8BBE">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帐    号： </w:t>
            </w:r>
          </w:p>
        </w:tc>
      </w:tr>
      <w:tr w14:paraId="7D6DA339">
        <w:tblPrEx>
          <w:tblCellMar>
            <w:top w:w="0" w:type="dxa"/>
            <w:left w:w="108" w:type="dxa"/>
            <w:bottom w:w="0" w:type="dxa"/>
            <w:right w:w="108" w:type="dxa"/>
          </w:tblCellMar>
        </w:tblPrEx>
        <w:trPr>
          <w:trHeight w:val="663" w:hRule="atLeast"/>
        </w:trPr>
        <w:tc>
          <w:tcPr>
            <w:tcW w:w="4657" w:type="dxa"/>
            <w:vAlign w:val="center"/>
          </w:tcPr>
          <w:p w14:paraId="52035BB9">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签订日期：     年   月    日</w:t>
            </w:r>
          </w:p>
        </w:tc>
        <w:tc>
          <w:tcPr>
            <w:tcW w:w="4655" w:type="dxa"/>
            <w:vAlign w:val="center"/>
          </w:tcPr>
          <w:p w14:paraId="36F12858">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签订日期：   年   月   日</w:t>
            </w:r>
          </w:p>
        </w:tc>
      </w:tr>
    </w:tbl>
    <w:p w14:paraId="473F1E59">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鉴 证 方：</w:t>
      </w:r>
    </w:p>
    <w:p w14:paraId="6810573E">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单位名称： </w:t>
      </w:r>
    </w:p>
    <w:p w14:paraId="05376AB4">
      <w:pPr>
        <w:tabs>
          <w:tab w:val="left" w:pos="480"/>
        </w:tabs>
        <w:spacing w:line="360" w:lineRule="auto"/>
        <w:rPr>
          <w:rFonts w:ascii="仿宋_GB2312" w:hAnsi="仿宋_GB2312" w:eastAsia="仿宋_GB2312" w:cs="仿宋_GB2312"/>
          <w:sz w:val="24"/>
        </w:rPr>
      </w:pPr>
      <w:r>
        <w:rPr>
          <w:rFonts w:hint="eastAsia" w:ascii="仿宋_GB2312" w:hAnsi="仿宋_GB2312" w:eastAsia="仿宋_GB2312" w:cs="仿宋_GB2312"/>
          <w:sz w:val="24"/>
        </w:rPr>
        <w:t>代 理 人：             （签字）</w:t>
      </w:r>
    </w:p>
    <w:p w14:paraId="0C9A7347">
      <w:pPr>
        <w:pStyle w:val="3"/>
        <w:spacing w:line="560" w:lineRule="exact"/>
        <w:rPr>
          <w:rFonts w:ascii="仿宋_GB2312" w:hAnsi="仿宋_GB2312" w:eastAsia="仿宋_GB2312" w:cs="仿宋_GB2312"/>
        </w:rPr>
      </w:pPr>
      <w:r>
        <w:rPr>
          <w:rFonts w:hint="eastAsia" w:ascii="仿宋_GB2312" w:hAnsi="仿宋_GB2312" w:eastAsia="仿宋_GB2312" w:cs="仿宋_GB2312"/>
        </w:rPr>
        <w:t>签订日期：     年   月   日</w:t>
      </w:r>
    </w:p>
    <w:p w14:paraId="569FCB2F">
      <w:pPr>
        <w:pStyle w:val="7"/>
        <w:rPr>
          <w:rFonts w:hint="default" w:ascii="仿宋_GB2312" w:hAnsi="仿宋_GB2312" w:eastAsia="仿宋_GB2312" w:cs="仿宋_GB2312"/>
          <w:sz w:val="24"/>
          <w:szCs w:val="24"/>
        </w:rPr>
      </w:pPr>
    </w:p>
    <w:p w14:paraId="73E157CA">
      <w:pPr>
        <w:pStyle w:val="7"/>
        <w:rPr>
          <w:rFonts w:hint="default" w:ascii="仿宋_GB2312" w:hAnsi="仿宋_GB2312" w:eastAsia="仿宋_GB2312" w:cs="仿宋_GB2312"/>
        </w:rPr>
      </w:pPr>
    </w:p>
    <w:p w14:paraId="058662A7">
      <w:pPr>
        <w:tabs>
          <w:tab w:val="left" w:pos="480"/>
        </w:tabs>
        <w:spacing w:line="300" w:lineRule="auto"/>
        <w:rPr>
          <w:rFonts w:ascii="仿宋_GB2312" w:hAnsi="仿宋_GB2312" w:eastAsia="仿宋_GB2312" w:cs="仿宋_GB2312"/>
          <w:sz w:val="20"/>
          <w:szCs w:val="20"/>
        </w:rPr>
      </w:pPr>
    </w:p>
    <w:p w14:paraId="34ACDBA4">
      <w:pPr>
        <w:spacing w:before="92" w:line="230" w:lineRule="exact"/>
        <w:ind w:left="3695"/>
        <w:rPr>
          <w:rFonts w:ascii="仿宋_GB2312" w:hAnsi="仿宋_GB2312" w:eastAsia="仿宋_GB2312" w:cs="仿宋_GB2312"/>
          <w:sz w:val="24"/>
          <w:szCs w:val="24"/>
        </w:rPr>
      </w:pPr>
    </w:p>
    <w:p w14:paraId="2E63A820"/>
    <w:sectPr>
      <w:footerReference r:id="rId3" w:type="default"/>
      <w:pgSz w:w="11900" w:h="16840"/>
      <w:pgMar w:top="1440" w:right="1080" w:bottom="1440" w:left="108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6DDE3">
    <w:pPr>
      <w:pStyle w:val="2"/>
      <w:spacing w:line="14" w:lineRule="auto"/>
      <w:rPr>
        <w:sz w:val="2"/>
      </w:rPr>
    </w:pPr>
    <w:r>
      <w:rPr>
        <w:sz w:val="2"/>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90746">
                          <w:pPr>
                            <w:pStyle w:val="4"/>
                          </w:pPr>
                          <w:r>
                            <w:t xml:space="preserve">第 </w:t>
                          </w:r>
                          <w:r>
                            <w:fldChar w:fldCharType="begin"/>
                          </w:r>
                          <w:r>
                            <w:instrText xml:space="preserve"> PAGE  \* MERGEFORMAT </w:instrText>
                          </w:r>
                          <w:r>
                            <w:fldChar w:fldCharType="separate"/>
                          </w:r>
                          <w:r>
                            <w:t>73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1C690746">
                    <w:pPr>
                      <w:pStyle w:val="4"/>
                    </w:pPr>
                    <w:r>
                      <w:t xml:space="preserve">第 </w:t>
                    </w:r>
                    <w:r>
                      <w:fldChar w:fldCharType="begin"/>
                    </w:r>
                    <w:r>
                      <w:instrText xml:space="preserve"> PAGE  \* MERGEFORMAT </w:instrText>
                    </w:r>
                    <w:r>
                      <w:fldChar w:fldCharType="separate"/>
                    </w:r>
                    <w:r>
                      <w:t>73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1321C"/>
    <w:multiLevelType w:val="multilevel"/>
    <w:tmpl w:val="2871321C"/>
    <w:lvl w:ilvl="0" w:tentative="0">
      <w:start w:val="1"/>
      <w:numFmt w:val="japaneseCounting"/>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3F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Plain Text"/>
    <w:basedOn w:val="1"/>
    <w:next w:val="1"/>
    <w:qFormat/>
    <w:uiPriority w:val="99"/>
    <w:rPr>
      <w:rFonts w:ascii="宋体" w:hAnsi="Courier New"/>
      <w:sz w:val="24"/>
    </w:rPr>
  </w:style>
  <w:style w:type="paragraph" w:styleId="4">
    <w:name w:val="footer"/>
    <w:basedOn w:val="1"/>
    <w:qFormat/>
    <w:uiPriority w:val="0"/>
    <w:pPr>
      <w:tabs>
        <w:tab w:val="center" w:pos="4153"/>
        <w:tab w:val="right" w:pos="8306"/>
      </w:tabs>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2026-05-18T03:33:18Z</dcterms:created>
  <dc:creator>Administrator</dc:creator>
  <cp:lastModifiedBy>夏日微凉</cp:lastModifiedBy>
  <dcterms:modified xsi:type="dcterms:W3CDTF">2026-05-18T03:33:58Z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1BB0B7C1F36A4848B4BB956BC9902ADA_12</vt:lpwstr>
  </property>
</Properties>
</file>