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版本号：GXCZ-C-2657014520260602001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厅视频会议及机房设备维护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GXCZ-C-26570145</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厅视频会议及机房设备维护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GXCZ-C-26570145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厅视频会议及机房设备维护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通过对陕西省交通运行监测中心厅视频会议系统和厅中心机房的日常维护保养、硬件（含系统软件）故障的分析排除、设备质保、备件管理和更换，以及系统的优化建议、调整、配置等工作保障其正常运行。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采购包1（厅视频会议及机房设备维护）：属于专门面向中小企业采购。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虚拟账号：1299104125105012600010596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通过对陕西省交通运行监测中心厅视频会议系统和厅中心机房的日常维护保养、硬件（含系统软件）故障的分析排除、设备质保、备件管理和更换，以及系统的优化建议、调整、配置等工作保障其正常运行。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厅视频会议及机房设备维护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标的名称：厅视频会议及机房设备维护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主要目标</w:t>
            </w:r>
          </w:p>
          <w:p>
            <w:pPr>
              <w:pStyle w:val="null3"/>
              <w:jc w:val="both"/>
            </w:pPr>
            <w:r>
              <w:rPr>
                <w:rFonts w:ascii="仿宋_GB2312" w:hAnsi="仿宋_GB2312" w:cs="仿宋_GB2312" w:eastAsia="仿宋_GB2312"/>
                <w:sz w:val="20"/>
              </w:rPr>
              <w:t>通过对陕西省交通运行监测中心厅视频会议系统和厅中心机房的日常维护保养、硬件（含系统软件）故障的分析排除、设备质保、备件管理和更换，以及系统的优化建议、调整、配置等工作保障其正常运行。</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安全保密</w:t>
            </w:r>
          </w:p>
          <w:p>
            <w:pPr>
              <w:pStyle w:val="null3"/>
              <w:jc w:val="both"/>
            </w:pPr>
            <w:r>
              <w:rPr>
                <w:rFonts w:ascii="仿宋_GB2312" w:hAnsi="仿宋_GB2312" w:cs="仿宋_GB2312" w:eastAsia="仿宋_GB2312"/>
                <w:sz w:val="20"/>
              </w:rPr>
              <w:t>签订《陕西省交通运行监测中心厅视频会议系统及机房维护管理项目技术服务保密协议》，确保信息安全。</w:t>
            </w:r>
          </w:p>
          <w:p>
            <w:pPr>
              <w:pStyle w:val="null3"/>
              <w:jc w:val="both"/>
              <w:outlineLvl w:val="0"/>
            </w:pPr>
            <w:r>
              <w:rPr>
                <w:rFonts w:ascii="仿宋_GB2312" w:hAnsi="仿宋_GB2312" w:cs="仿宋_GB2312" w:eastAsia="仿宋_GB2312"/>
                <w:sz w:val="20"/>
                <w:b/>
              </w:rPr>
              <w:t>3.</w:t>
            </w:r>
            <w:r>
              <w:rPr>
                <w:rFonts w:ascii="仿宋_GB2312" w:hAnsi="仿宋_GB2312" w:cs="仿宋_GB2312" w:eastAsia="仿宋_GB2312"/>
                <w:sz w:val="20"/>
                <w:b/>
              </w:rPr>
              <w:t>服务内容及要求</w:t>
            </w:r>
          </w:p>
          <w:p>
            <w:pPr>
              <w:pStyle w:val="null3"/>
              <w:jc w:val="both"/>
              <w:outlineLvl w:val="1"/>
            </w:pPr>
            <w:r>
              <w:rPr>
                <w:rFonts w:ascii="仿宋_GB2312" w:hAnsi="仿宋_GB2312" w:cs="仿宋_GB2312" w:eastAsia="仿宋_GB2312"/>
                <w:sz w:val="20"/>
                <w:b/>
              </w:rPr>
              <w:t>3.1.</w:t>
            </w:r>
            <w:r>
              <w:rPr>
                <w:rFonts w:ascii="仿宋_GB2312" w:hAnsi="仿宋_GB2312" w:cs="仿宋_GB2312" w:eastAsia="仿宋_GB2312"/>
                <w:sz w:val="20"/>
                <w:b/>
              </w:rPr>
              <w:t>厅视频会议系统维护</w:t>
            </w:r>
          </w:p>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维护内容</w:t>
            </w:r>
          </w:p>
          <w:tbl>
            <w:tblPr>
              <w:tblInd w:type="dxa" w:w="195"/>
              <w:tblBorders>
                <w:top w:val="none" w:color="000000" w:sz="4"/>
                <w:left w:val="none" w:color="000000" w:sz="4"/>
                <w:bottom w:val="none" w:color="000000" w:sz="4"/>
                <w:right w:val="none" w:color="000000" w:sz="4"/>
                <w:insideH w:val="none"/>
                <w:insideV w:val="none"/>
              </w:tblBorders>
            </w:tblPr>
            <w:tblGrid>
              <w:gridCol w:w="219"/>
              <w:gridCol w:w="890"/>
              <w:gridCol w:w="954"/>
              <w:gridCol w:w="258"/>
              <w:gridCol w:w="232"/>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视频会议多点控制单元</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ZTEZXV10M910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视频会议多点控制单元</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ZTEZXV10M9000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会管服务平台</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会管服务平台（含服务器）</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录播服务器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REACHCH50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视频终端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POLYCOMXT702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视频终端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ZTEZXV10ET802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视频终端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POLYCOMGROUP550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备份视频终端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POLYCOMGROUP550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SonyBRC-Z700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SonyBRC-H700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BOLIN4K摄像机</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摄像控制键盘</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SonyRM-BR300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摄像控制键盘</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BOLIN</w:t>
                  </w:r>
                  <w:r>
                    <w:rPr>
                      <w:rFonts w:ascii="仿宋_GB2312" w:hAnsi="仿宋_GB2312" w:cs="仿宋_GB2312" w:eastAsia="仿宋_GB2312"/>
                      <w:sz w:val="20"/>
                      <w:color w:val="000000"/>
                    </w:rPr>
                    <w:t>KBD-2020-R</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移动摄像机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SonyBRC--2330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ZTEZXV10V212AF</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鹰眼摄像机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POLYCOMMPTZ</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全向麦克风</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视频终端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POLYCOMGROUP550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高清摄像头</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PolycomMPTZ--10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视频终端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ZTEZXV10ET802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高清摄像机</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ZTEZXV10V212AF</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会议综合管理平台</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高清视频矩阵</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AVCITHD1010-A4k</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高清视频矩阵</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VTECHVDCM2020</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四画面图像处理器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AVITECH画面分割器</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信号转换设备</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信号转换附属设备</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110英寸商用显示器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BMXBO-B542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55英寸显示器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BMN55-0441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55英寸显示器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LED55EC280JD</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电脑显示器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LENOVOThinkVisionX23</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显示器</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中创美</w:t>
                  </w:r>
                  <w:r>
                    <w:rPr>
                      <w:rFonts w:ascii="仿宋_GB2312" w:hAnsi="仿宋_GB2312" w:cs="仿宋_GB2312" w:eastAsia="仿宋_GB2312"/>
                      <w:sz w:val="20"/>
                    </w:rPr>
                    <w:t>CA4201a</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时序电源</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ABLV-12ND</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时序电源</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CAH8通道</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拾音扩声系统</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拾音扩声系统含无线手持</w:t>
                  </w:r>
                  <w:r>
                    <w:rPr>
                      <w:rFonts w:ascii="仿宋_GB2312" w:hAnsi="仿宋_GB2312" w:cs="仿宋_GB2312" w:eastAsia="仿宋_GB2312"/>
                      <w:sz w:val="20"/>
                    </w:rPr>
                    <w:t>1套、嵌入式鹅颈会议话筒11台、会议话筒主机1台、鹅颈会议话筒1个、短柄会议话筒4个、蓝光高清播放机1台、混音器1台、音频处理器1台、调音台1台、主扩扬声器2只、辅助扬声器2只、功率放大器2台、监听音箱3只、会议室环境拾音器1只等。</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数据线路</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光电</w:t>
                  </w:r>
                  <w:r>
                    <w:rPr>
                      <w:rFonts w:ascii="仿宋_GB2312" w:hAnsi="仿宋_GB2312" w:cs="仿宋_GB2312" w:eastAsia="仿宋_GB2312"/>
                      <w:sz w:val="20"/>
                    </w:rPr>
                    <w:t>收发</w:t>
                  </w:r>
                  <w:r>
                    <w:rPr>
                      <w:rFonts w:ascii="仿宋_GB2312" w:hAnsi="仿宋_GB2312" w:cs="仿宋_GB2312" w:eastAsia="仿宋_GB2312"/>
                      <w:sz w:val="20"/>
                    </w:rPr>
                    <w:t>器、光纤配线架、网络线路等</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配电箱</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照明和设备</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附属配件配线</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系统所有设备配件及配线</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设备恒温系统</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环境光</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三基色照明</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定制电动角度可调</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软膜照明</w:t>
                  </w:r>
                </w:p>
              </w:tc>
              <w:tc>
                <w:tcPr>
                  <w:tcW w:type="dxa" w:w="9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排</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bl>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维护要求</w:t>
            </w:r>
          </w:p>
          <w:p>
            <w:pPr>
              <w:pStyle w:val="null3"/>
              <w:jc w:val="both"/>
            </w:pPr>
            <w:r>
              <w:rPr>
                <w:rFonts w:ascii="仿宋_GB2312" w:hAnsi="仿宋_GB2312" w:cs="仿宋_GB2312" w:eastAsia="仿宋_GB2312"/>
                <w:sz w:val="20"/>
              </w:rPr>
              <w:t>①每周7×24小时，全年保持实时电话响应。</w:t>
            </w:r>
          </w:p>
          <w:p>
            <w:pPr>
              <w:pStyle w:val="null3"/>
              <w:jc w:val="both"/>
            </w:pPr>
            <w:r>
              <w:rPr>
                <w:rFonts w:ascii="仿宋_GB2312" w:hAnsi="仿宋_GB2312" w:cs="仿宋_GB2312" w:eastAsia="仿宋_GB2312"/>
                <w:sz w:val="20"/>
              </w:rPr>
              <w:t>②所有视频会议系统设备可能随时发生的一般故障，在接到故障申告时起，1小时内到达故障现场，紧急故障在接到故障申告后30分钟内到达故障现场（西安市以外地区延长两日）。</w:t>
            </w:r>
          </w:p>
          <w:p>
            <w:pPr>
              <w:pStyle w:val="null3"/>
              <w:jc w:val="both"/>
            </w:pPr>
            <w:r>
              <w:rPr>
                <w:rFonts w:ascii="仿宋_GB2312" w:hAnsi="仿宋_GB2312" w:cs="仿宋_GB2312" w:eastAsia="仿宋_GB2312"/>
                <w:sz w:val="20"/>
              </w:rPr>
              <w:t>③到达故障现场时起，故障诊断时间不超过1小时。系统恢复运行时间不超过2小时。</w:t>
            </w:r>
          </w:p>
          <w:p>
            <w:pPr>
              <w:pStyle w:val="null3"/>
              <w:jc w:val="both"/>
            </w:pPr>
            <w:r>
              <w:rPr>
                <w:rFonts w:ascii="仿宋_GB2312" w:hAnsi="仿宋_GB2312" w:cs="仿宋_GB2312" w:eastAsia="仿宋_GB2312"/>
                <w:sz w:val="20"/>
              </w:rPr>
              <w:t>④备件更换：</w:t>
            </w:r>
            <w:r>
              <w:rPr>
                <w:rFonts w:ascii="仿宋_GB2312" w:hAnsi="仿宋_GB2312" w:cs="仿宋_GB2312" w:eastAsia="仿宋_GB2312"/>
                <w:sz w:val="20"/>
              </w:rPr>
              <w:t>服务期内如需要更换其他备品备件，在接到故障申告时起，</w:t>
            </w:r>
            <w:r>
              <w:rPr>
                <w:rFonts w:ascii="仿宋_GB2312" w:hAnsi="仿宋_GB2312" w:cs="仿宋_GB2312" w:eastAsia="仿宋_GB2312"/>
                <w:sz w:val="20"/>
              </w:rPr>
              <w:t>3小时内备件到达故障现场(西安市以外地区延长两天)，部分特殊订制备件到场时间不超过14天，从备件到场时起，更换备件作业时间不超过2小时。合同签订</w:t>
            </w:r>
            <w:r>
              <w:rPr>
                <w:rFonts w:ascii="仿宋_GB2312" w:hAnsi="仿宋_GB2312" w:cs="仿宋_GB2312" w:eastAsia="仿宋_GB2312"/>
                <w:sz w:val="20"/>
              </w:rPr>
              <w:t>后</w:t>
            </w:r>
            <w:r>
              <w:rPr>
                <w:rFonts w:ascii="仿宋_GB2312" w:hAnsi="仿宋_GB2312" w:cs="仿宋_GB2312" w:eastAsia="仿宋_GB2312"/>
                <w:sz w:val="20"/>
              </w:rPr>
              <w:t>7日内</w:t>
            </w:r>
            <w:r>
              <w:rPr>
                <w:rFonts w:ascii="仿宋_GB2312" w:hAnsi="仿宋_GB2312" w:cs="仿宋_GB2312" w:eastAsia="仿宋_GB2312"/>
                <w:sz w:val="20"/>
              </w:rPr>
              <w:t>提供核心</w:t>
            </w:r>
            <w:r>
              <w:rPr>
                <w:rFonts w:ascii="仿宋_GB2312" w:hAnsi="仿宋_GB2312" w:cs="仿宋_GB2312" w:eastAsia="仿宋_GB2312"/>
                <w:sz w:val="20"/>
              </w:rPr>
              <w:t>MCU和视频终端</w:t>
            </w:r>
            <w:r>
              <w:rPr>
                <w:rFonts w:ascii="仿宋_GB2312" w:hAnsi="仿宋_GB2312" w:cs="仿宋_GB2312" w:eastAsia="仿宋_GB2312"/>
                <w:sz w:val="20"/>
              </w:rPr>
              <w:t>备品</w:t>
            </w:r>
            <w:r>
              <w:rPr>
                <w:rFonts w:ascii="仿宋_GB2312" w:hAnsi="仿宋_GB2312" w:cs="仿宋_GB2312" w:eastAsia="仿宋_GB2312"/>
                <w:sz w:val="20"/>
              </w:rPr>
              <w:t>各</w:t>
            </w:r>
            <w:r>
              <w:rPr>
                <w:rFonts w:ascii="仿宋_GB2312" w:hAnsi="仿宋_GB2312" w:cs="仿宋_GB2312" w:eastAsia="仿宋_GB2312"/>
                <w:sz w:val="20"/>
              </w:rPr>
              <w:t>1台</w:t>
            </w:r>
            <w:r>
              <w:rPr>
                <w:rFonts w:ascii="仿宋_GB2312" w:hAnsi="仿宋_GB2312" w:cs="仿宋_GB2312" w:eastAsia="仿宋_GB2312"/>
                <w:sz w:val="20"/>
              </w:rPr>
              <w:t>(与现有完全兼容）</w:t>
            </w:r>
            <w:r>
              <w:rPr>
                <w:rFonts w:ascii="仿宋_GB2312" w:hAnsi="仿宋_GB2312" w:cs="仿宋_GB2312" w:eastAsia="仿宋_GB2312"/>
                <w:sz w:val="20"/>
              </w:rPr>
              <w:t>。</w:t>
            </w:r>
            <w:r>
              <w:rPr>
                <w:rFonts w:ascii="仿宋_GB2312" w:hAnsi="仿宋_GB2312" w:cs="仿宋_GB2312" w:eastAsia="仿宋_GB2312"/>
                <w:sz w:val="20"/>
              </w:rPr>
              <w:t>项目服务中的</w:t>
            </w:r>
            <w:r>
              <w:rPr>
                <w:rFonts w:ascii="仿宋_GB2312" w:hAnsi="仿宋_GB2312" w:cs="仿宋_GB2312" w:eastAsia="仿宋_GB2312"/>
                <w:sz w:val="20"/>
              </w:rPr>
              <w:t>备品备件需为原厂产品</w:t>
            </w:r>
            <w:r>
              <w:rPr>
                <w:rFonts w:ascii="仿宋_GB2312" w:hAnsi="仿宋_GB2312" w:cs="仿宋_GB2312" w:eastAsia="仿宋_GB2312"/>
                <w:sz w:val="20"/>
              </w:rPr>
              <w:t>或备件</w:t>
            </w:r>
            <w:r>
              <w:rPr>
                <w:rFonts w:ascii="仿宋_GB2312" w:hAnsi="仿宋_GB2312" w:cs="仿宋_GB2312" w:eastAsia="仿宋_GB2312"/>
                <w:sz w:val="20"/>
              </w:rPr>
              <w:t>，非第三方替代产品。</w:t>
            </w:r>
          </w:p>
          <w:p>
            <w:pPr>
              <w:pStyle w:val="null3"/>
              <w:jc w:val="both"/>
            </w:pPr>
            <w:r>
              <w:rPr>
                <w:rFonts w:ascii="仿宋_GB2312" w:hAnsi="仿宋_GB2312" w:cs="仿宋_GB2312" w:eastAsia="仿宋_GB2312"/>
                <w:sz w:val="20"/>
              </w:rPr>
              <w:t>⑤</w:t>
            </w:r>
            <w:r>
              <w:rPr>
                <w:rFonts w:ascii="仿宋_GB2312" w:hAnsi="仿宋_GB2312" w:cs="仿宋_GB2312" w:eastAsia="仿宋_GB2312"/>
                <w:sz w:val="20"/>
              </w:rPr>
              <w:t>每月两次，在现场对本次合同范围内的所有视频会议系统设备进行常规检测，并记录检测内容和结果。对发现的故障隐患和不合理内容进行处理。</w:t>
            </w:r>
          </w:p>
          <w:p>
            <w:pPr>
              <w:pStyle w:val="null3"/>
              <w:jc w:val="both"/>
            </w:pPr>
            <w:r>
              <w:rPr>
                <w:rFonts w:ascii="仿宋_GB2312" w:hAnsi="仿宋_GB2312" w:cs="仿宋_GB2312" w:eastAsia="仿宋_GB2312"/>
                <w:sz w:val="20"/>
              </w:rPr>
              <w:t>⑥</w:t>
            </w:r>
            <w:r>
              <w:rPr>
                <w:rFonts w:ascii="仿宋_GB2312" w:hAnsi="仿宋_GB2312" w:cs="仿宋_GB2312" w:eastAsia="仿宋_GB2312"/>
                <w:sz w:val="20"/>
              </w:rPr>
              <w:t>两月一次派遣技术专家对所有视频会议系统设备进行详细检测，并详细记录检测内容和结果。对随时发现的故障和不合理的使用进行解决和纠正。在现场对所有设备进行运行日志分析，发现潜在的硬件故障并着手对故障进行解决。</w:t>
            </w:r>
          </w:p>
          <w:p>
            <w:pPr>
              <w:pStyle w:val="null3"/>
              <w:jc w:val="both"/>
            </w:pPr>
            <w:r>
              <w:rPr>
                <w:rFonts w:ascii="仿宋_GB2312" w:hAnsi="仿宋_GB2312" w:cs="仿宋_GB2312" w:eastAsia="仿宋_GB2312"/>
                <w:sz w:val="20"/>
              </w:rPr>
              <w:t>⑦</w:t>
            </w:r>
            <w:r>
              <w:rPr>
                <w:rFonts w:ascii="仿宋_GB2312" w:hAnsi="仿宋_GB2312" w:cs="仿宋_GB2312" w:eastAsia="仿宋_GB2312"/>
                <w:sz w:val="20"/>
              </w:rPr>
              <w:t>对维护范围内的所有视频会议系统设备的故障排除、运行监测、检测和备件更换等所有操作都应有文字记录；</w:t>
            </w:r>
            <w:r>
              <w:rPr>
                <w:rFonts w:ascii="仿宋_GB2312" w:hAnsi="仿宋_GB2312" w:cs="仿宋_GB2312" w:eastAsia="仿宋_GB2312"/>
                <w:sz w:val="20"/>
              </w:rPr>
              <w:t>每月</w:t>
            </w:r>
            <w:r>
              <w:rPr>
                <w:rFonts w:ascii="仿宋_GB2312" w:hAnsi="仿宋_GB2312" w:cs="仿宋_GB2312" w:eastAsia="仿宋_GB2312"/>
                <w:sz w:val="20"/>
              </w:rPr>
              <w:t>5日前向采购人相关负责人提交上月维护报告</w:t>
            </w:r>
            <w:r>
              <w:rPr>
                <w:rFonts w:ascii="仿宋_GB2312" w:hAnsi="仿宋_GB2312" w:cs="仿宋_GB2312" w:eastAsia="仿宋_GB2312"/>
                <w:sz w:val="20"/>
              </w:rPr>
              <w:t>；每年年末汇报总结全年的维护情况。</w:t>
            </w:r>
          </w:p>
          <w:p>
            <w:pPr>
              <w:pStyle w:val="null3"/>
              <w:jc w:val="both"/>
            </w:pPr>
            <w:r>
              <w:rPr>
                <w:rFonts w:ascii="仿宋_GB2312" w:hAnsi="仿宋_GB2312" w:cs="仿宋_GB2312" w:eastAsia="仿宋_GB2312"/>
                <w:sz w:val="20"/>
              </w:rPr>
              <w:t>⑧</w:t>
            </w:r>
            <w:r>
              <w:rPr>
                <w:rFonts w:ascii="仿宋_GB2312" w:hAnsi="仿宋_GB2312" w:cs="仿宋_GB2312" w:eastAsia="仿宋_GB2312"/>
                <w:sz w:val="20"/>
              </w:rPr>
              <w:t>每月一次，打扫视频会议主会场控制室和机柜内部。每年两次清理本次合同范围内的所有视频会议系统设备机箱内部的灰尘（市级视频会议设备每年一次）。</w:t>
            </w:r>
          </w:p>
          <w:p>
            <w:pPr>
              <w:pStyle w:val="null3"/>
              <w:jc w:val="both"/>
            </w:pPr>
            <w:r>
              <w:rPr>
                <w:rFonts w:ascii="仿宋_GB2312" w:hAnsi="仿宋_GB2312" w:cs="仿宋_GB2312" w:eastAsia="仿宋_GB2312"/>
                <w:sz w:val="20"/>
              </w:rPr>
              <w:t>⑨</w:t>
            </w:r>
            <w:r>
              <w:rPr>
                <w:rFonts w:ascii="仿宋_GB2312" w:hAnsi="仿宋_GB2312" w:cs="仿宋_GB2312" w:eastAsia="仿宋_GB2312"/>
                <w:sz w:val="20"/>
              </w:rPr>
              <w:t>对会议综合管理系统软件进行持续的修改和补丁升级。</w:t>
            </w:r>
          </w:p>
          <w:p>
            <w:pPr>
              <w:pStyle w:val="null3"/>
              <w:jc w:val="both"/>
              <w:outlineLvl w:val="1"/>
            </w:pPr>
            <w:r>
              <w:rPr>
                <w:rFonts w:ascii="仿宋_GB2312" w:hAnsi="仿宋_GB2312" w:cs="仿宋_GB2312" w:eastAsia="仿宋_GB2312"/>
                <w:sz w:val="20"/>
                <w:b/>
              </w:rPr>
              <w:t>3.2.</w:t>
            </w:r>
            <w:r>
              <w:rPr>
                <w:rFonts w:ascii="仿宋_GB2312" w:hAnsi="仿宋_GB2312" w:cs="仿宋_GB2312" w:eastAsia="仿宋_GB2312"/>
                <w:sz w:val="20"/>
                <w:b/>
              </w:rPr>
              <w:t>厅中心机房维护</w:t>
            </w:r>
          </w:p>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维护内容</w:t>
            </w:r>
          </w:p>
          <w:tbl>
            <w:tblPr>
              <w:tblInd w:type="dxa" w:w="120"/>
              <w:tblBorders>
                <w:top w:val="none" w:color="000000" w:sz="4"/>
                <w:left w:val="none" w:color="000000" w:sz="4"/>
                <w:bottom w:val="none" w:color="000000" w:sz="4"/>
                <w:right w:val="none" w:color="000000" w:sz="4"/>
                <w:insideH w:val="none"/>
                <w:insideV w:val="none"/>
              </w:tblBorders>
            </w:tblPr>
            <w:tblGrid>
              <w:gridCol w:w="229"/>
              <w:gridCol w:w="703"/>
              <w:gridCol w:w="1023"/>
              <w:gridCol w:w="305"/>
              <w:gridCol w:w="293"/>
            </w:tblGrid>
            <w:tr>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设备名称</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品牌型号</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机房精密空调</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Vertiv：P2040室内机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29"/>
                  <w:vMerge/>
                  <w:tcBorders>
                    <w:top w:val="none" w:color="000000" w:sz="4"/>
                    <w:left w:val="single" w:color="000000" w:sz="4"/>
                    <w:bottom w:val="single" w:color="000000" w:sz="4"/>
                    <w:right w:val="single" w:color="000000" w:sz="4"/>
                  </w:tcBorders>
                </w:tcPr>
                <w:p/>
              </w:tc>
              <w:tc>
                <w:tcPr>
                  <w:tcW w:type="dxa" w:w="703"/>
                  <w:vMerge/>
                  <w:tcBorders>
                    <w:top w:val="none" w:color="000000" w:sz="4"/>
                    <w:left w:val="none" w:color="000000" w:sz="4"/>
                    <w:bottom w:val="single" w:color="000000" w:sz="4"/>
                    <w:right w:val="single" w:color="000000" w:sz="4"/>
                  </w:tcBorders>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机房精密空调</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Vertiv：P2060室内机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29"/>
                  <w:vMerge/>
                  <w:tcBorders>
                    <w:top w:val="none" w:color="000000" w:sz="4"/>
                    <w:left w:val="single" w:color="000000" w:sz="4"/>
                    <w:bottom w:val="single" w:color="000000" w:sz="4"/>
                    <w:right w:val="single" w:color="000000" w:sz="4"/>
                  </w:tcBorders>
                </w:tcPr>
                <w:p/>
              </w:tc>
              <w:tc>
                <w:tcPr>
                  <w:tcW w:type="dxa" w:w="703"/>
                  <w:vMerge/>
                  <w:tcBorders>
                    <w:top w:val="none" w:color="000000" w:sz="4"/>
                    <w:left w:val="none" w:color="000000" w:sz="4"/>
                    <w:bottom w:val="single" w:color="000000" w:sz="4"/>
                    <w:right w:val="single" w:color="000000" w:sz="4"/>
                  </w:tcBorders>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室外机</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UPS后备电源主机</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KSTAK:YMK3320-100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UPS电源功率模块</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KSTAK：YMK3320-RM</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铅酸蓄电池</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KSTAK：100AH/12V</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216</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市电配电柜</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机房市电配电总柜（定制）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UPS配电柜</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UPS输入输出配电柜（定制）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精密配电柜</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机房精密配电列头柜（定制）</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电池汇流箱</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分组开关、汇流排</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PDU</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16A</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连接器</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配电连接器、机柜下固定安装</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r>
            <w:tr>
              <w:tc>
                <w:tcPr>
                  <w:tcW w:type="dxa" w:w="2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机房照明灯具</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LED：1200*1200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r>
            <w:tr>
              <w:tc>
                <w:tcPr>
                  <w:tcW w:type="dxa" w:w="229"/>
                  <w:vMerge/>
                  <w:tcBorders>
                    <w:top w:val="none" w:color="000000" w:sz="4"/>
                    <w:left w:val="single" w:color="000000" w:sz="4"/>
                    <w:bottom w:val="single" w:color="000000" w:sz="4"/>
                    <w:right w:val="single" w:color="000000" w:sz="4"/>
                  </w:tcBorders>
                </w:tcPr>
                <w:p/>
              </w:tc>
              <w:tc>
                <w:tcPr>
                  <w:tcW w:type="dxa" w:w="703"/>
                  <w:vMerge/>
                  <w:tcBorders>
                    <w:top w:val="none" w:color="000000" w:sz="4"/>
                    <w:left w:val="none" w:color="000000" w:sz="4"/>
                    <w:bottom w:val="single" w:color="000000" w:sz="4"/>
                    <w:right w:val="single" w:color="000000" w:sz="4"/>
                  </w:tcBorders>
                </w:tcP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LED：600*600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机房综合布线</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机房综合布线设施</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4</w:t>
                  </w:r>
                </w:p>
              </w:tc>
              <w:tc>
                <w:tcPr>
                  <w:tcW w:type="dxa" w:w="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应急服务及现场服务</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对于特殊事件</w:t>
                  </w:r>
                  <w:r>
                    <w:rPr>
                      <w:rFonts w:ascii="仿宋_GB2312" w:hAnsi="仿宋_GB2312" w:cs="仿宋_GB2312" w:eastAsia="仿宋_GB2312"/>
                      <w:sz w:val="20"/>
                    </w:rPr>
                    <w:t>(包含极热、极冷的极端天气、水患、长时间停电、节假日特殊要求）增加机房运维人员及技术专业人员的现场技术支持及值班服务</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次</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不定次数，每年不超过</w:t>
                  </w:r>
                  <w:r>
                    <w:rPr>
                      <w:rFonts w:ascii="仿宋_GB2312" w:hAnsi="仿宋_GB2312" w:cs="仿宋_GB2312" w:eastAsia="仿宋_GB2312"/>
                      <w:sz w:val="20"/>
                    </w:rPr>
                    <w:t>15天</w:t>
                  </w:r>
                </w:p>
              </w:tc>
            </w:tr>
          </w:tbl>
          <w:p>
            <w:pPr>
              <w:pStyle w:val="null3"/>
              <w:jc w:val="both"/>
              <w:outlineLvl w:val="2"/>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b/>
              </w:rPr>
              <w:t>维护要求</w:t>
            </w:r>
          </w:p>
          <w:p>
            <w:pPr>
              <w:pStyle w:val="null3"/>
              <w:jc w:val="both"/>
            </w:pPr>
            <w:r>
              <w:rPr>
                <w:rFonts w:ascii="仿宋_GB2312" w:hAnsi="仿宋_GB2312" w:cs="仿宋_GB2312" w:eastAsia="仿宋_GB2312"/>
                <w:sz w:val="20"/>
              </w:rPr>
              <w:t>①每周7×24小时，全年保持实时电话响应。</w:t>
            </w:r>
          </w:p>
          <w:p>
            <w:pPr>
              <w:pStyle w:val="null3"/>
              <w:jc w:val="both"/>
            </w:pPr>
            <w:r>
              <w:rPr>
                <w:rFonts w:ascii="仿宋_GB2312" w:hAnsi="仿宋_GB2312" w:cs="仿宋_GB2312" w:eastAsia="仿宋_GB2312"/>
                <w:sz w:val="20"/>
              </w:rPr>
              <w:t>②所有机房维护设备可能随时发生的一般故障，在接到故障申告时起，1小时内到达故障现场，紧急故障在接到故障申告后30分钟内到达故障现场。</w:t>
            </w:r>
          </w:p>
          <w:p>
            <w:pPr>
              <w:pStyle w:val="null3"/>
              <w:jc w:val="both"/>
            </w:pPr>
            <w:r>
              <w:rPr>
                <w:rFonts w:ascii="仿宋_GB2312" w:hAnsi="仿宋_GB2312" w:cs="仿宋_GB2312" w:eastAsia="仿宋_GB2312"/>
                <w:sz w:val="20"/>
              </w:rPr>
              <w:t>③备件到场时问及要求：重要备件UPS及机房专用空调(某类备件的硬件故障导致相关设备宕机，则此类备件为重要备件)，服务期内如需要更换的其他备品备件，在接到故障申告时起，服务方在判明故障后4小时内将备件运抵现场，对于一般备件(不影响生产)，服务方在判明故障后24小时内将备件运抵现场。提供的备品备件需为原厂产品，非第三方替代产品，并提供原厂证明。</w:t>
            </w:r>
          </w:p>
          <w:p>
            <w:pPr>
              <w:pStyle w:val="null3"/>
              <w:jc w:val="both"/>
            </w:pPr>
            <w:r>
              <w:rPr>
                <w:rFonts w:ascii="仿宋_GB2312" w:hAnsi="仿宋_GB2312" w:cs="仿宋_GB2312" w:eastAsia="仿宋_GB2312"/>
                <w:sz w:val="20"/>
              </w:rPr>
              <w:t>④每月两次，在现场对本次合同范围内的所有机房设备进行一次常规检查及一次深度检查。记录检测内容和结果并提供书面报告。对随时发现的故障和不合理的使用进行解决和纠正。</w:t>
            </w:r>
          </w:p>
          <w:p>
            <w:pPr>
              <w:pStyle w:val="null3"/>
              <w:jc w:val="both"/>
            </w:pPr>
            <w:r>
              <w:rPr>
                <w:rFonts w:ascii="仿宋_GB2312" w:hAnsi="仿宋_GB2312" w:cs="仿宋_GB2312" w:eastAsia="仿宋_GB2312"/>
                <w:sz w:val="20"/>
              </w:rPr>
              <w:t>⑤对合同范围内的所有网络中心就基础设备的故障排除、运行检查、检测和备件更换等所有操作都应有书面报告；每月5日前向采购人相关负责人提交上月维护报告。</w:t>
            </w:r>
          </w:p>
          <w:p>
            <w:pPr>
              <w:pStyle w:val="null3"/>
              <w:jc w:val="both"/>
            </w:pPr>
            <w:r>
              <w:rPr>
                <w:rFonts w:ascii="仿宋_GB2312" w:hAnsi="仿宋_GB2312" w:cs="仿宋_GB2312" w:eastAsia="仿宋_GB2312"/>
                <w:sz w:val="20"/>
              </w:rPr>
              <w:t>⑥每三个月对UPS电池进行一次放电操作，估算电池的后备时间定期进行保养。</w:t>
            </w:r>
          </w:p>
          <w:p>
            <w:pPr>
              <w:pStyle w:val="null3"/>
              <w:jc w:val="both"/>
            </w:pPr>
            <w:r>
              <w:rPr>
                <w:rFonts w:ascii="仿宋_GB2312" w:hAnsi="仿宋_GB2312" w:cs="仿宋_GB2312" w:eastAsia="仿宋_GB2312"/>
                <w:sz w:val="20"/>
              </w:rPr>
              <w:t>⑦特殊事件：对于对于采购人有明确要求的特殊事件(包含极热、极冷的极端天气、水患、长时间停电、节假日特殊要求）增加专项巡检、机房运维人员的现场技术支持及值班服务。</w:t>
            </w:r>
          </w:p>
          <w:p>
            <w:pPr>
              <w:pStyle w:val="null3"/>
              <w:jc w:val="both"/>
            </w:pPr>
            <w:r>
              <w:rPr>
                <w:rFonts w:ascii="仿宋_GB2312" w:hAnsi="仿宋_GB2312" w:cs="仿宋_GB2312" w:eastAsia="仿宋_GB2312"/>
                <w:sz w:val="20"/>
              </w:rPr>
              <w:t>⑧维保期间提供厅机房动力环境设备供应商的安装调试的配合工作。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2026年7月2日至2027年7月1日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 （2）合同期满，运维项目必须通过采购人验收。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2.未按合同或政府采购招投标文件要求提供产品、服务，或供应的产品、服务质量不能满足采购人技术要求，经书面告知在合理期限内整改但仍不予调整的，采购人有权终止合同，并有权对违约行为进行追究。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采购人的违约责任：采购人因自身原因不按合同约定向供应商付款，每逾期一天，须按迟延付款额的0.01%向供应商支付延期付款的违约金。采购人不按照合同约定提供相关资料及其它协作事项的，应提前7日书面通知供应商，项目完成时间予以顺延。 5.供应商的违约责任：供应商未按照本合同约定保质保量提供产品或服务，经采购人催告后履行仍不符合合同约定的，采购人有权解除本合同，同时有权要求供应商按照合同价款的10%承担违约金。采购人维权支付的诉讼费、保全费、律师费等费用由供应商承担。 合同履行期限结束，供应商未能按期完成服务期限的内容，供应商应继续履行自身义务直至符合合同约定。同时从合同履行期限届满之日开始起算，每逾期一天按合同总金额的0.03%向采购人支付违约金。 若本项目经采购人验收不合格，采购人有权要求供应商在10日内整改完善，供应商必须予以整改完善。因此导致成果逾期提交的，履行期限不予顺延，每逾期一天，应按合同总金额的0.03%向采购人支付违约金；限期补充完善仍未达到采购人要求的，采购人有权单方解除合同，供应商除应承担上述逾期违约金外，还应赔偿因此给采购人造成的实际损失（例如：鉴定费、委托第三方为采购人提供完善项目所产生的费用、项目建设进度顺延给采购人造成的损失、诉讼费、律师费等），赔偿金额原则上不超过本合同总金额的30%，但采购人的实际损失超过合同总金额30%的，供应商应当承担补足责任。 甲乙双方任何一方违反保密义务的，违约方应向对方支付合同总金额10%的违约金，违约金不足以弥补对方损失的还应当承担补足责任。 供应商没有采购人的书面同意转让合同或将项目的全部或部分分包或转包出去，采购人可向供应商发出书面违约通知书，提出终止部分或全部合同。若采购人部分终止合同的，供应商应继续履行合同其他义务，并按照合同金额的10%支付违约金。若采购人全部终止合同的，供应商应按合同总金额30%的支付违约金。同时采购人的实际损失超过合同总金额30%的，供应商应当承担补足责任。 供应商违反合同约定的其它责任、义务视为违约，需向采购人支付合同总价款的30%违约金。同时采购人的实际损失超过合同总金额30%的，供应商应当承担补足责任。 合同争议的解决：合同执行中发生争议的，当事人双方应协商解决，协商达不成一致时，可向采购人所在地人民法院提请诉讼。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整体专门面向中小企业采购。承接服务供应商应为中小企业，即提供服务的人员为中小企业依照《中华人民共和国劳动合同法》订立劳动合同的从业人员。中小企业须符合本项目采购标的对应行业（软件和信息技术服务业）的政策划分标准。监狱企业、残疾人福利单位视同小型、微型企业。注：中小企业应填写的《中小企业声明函》（见响应文件格式）可为判定标准；残疾人福利性单位填写的《残疾人福利性单位声明函》（见响应文件格式）可为判定标准；监狱企业须供应商提供由省级以上监狱管理局、戒毒管理局（含新疆生产建设兵团）出具的属于监狱企业的证明文件，否则不予认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根据供应商提供的项目总体分析（分析内容包括但不限于项目背景、采购需求及意义等）进行综合评审： 1.对本项目的背景、采购需求及意义理解透彻，得10分； 2.对本项目的背景、采购需求及意义基本理解，得7分； 3.对本项目的背景、采购需求及意义理解不到位，得4分；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设计合理、架构完整、层次清楚，（包括但不限于日常维护保养、硬件（含系统软件）故障的分析排除、设备质保、备件管理和更换，以及系统的优化建议、调整、配置等工作保障其正常运行方面）进行评审： 1.服务方案内容科学合理、切实可行、有针对性，完全满足项目采购要求，得15分； 2.服务方案内容比较明确、有较好的可操作性，能基本满足项目采购要求，得10分； 3.服务方案内容不够全面完善、针对性较差，部分满足项目采购要求，得5分； 4.未提供或其他情况不得分。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实施保障</w:t>
            </w:r>
          </w:p>
        </w:tc>
        <w:tc>
          <w:tcPr>
            <w:tcW w:type="dxa" w:w="2492"/>
          </w:tcPr>
          <w:p>
            <w:pPr>
              <w:pStyle w:val="null3"/>
            </w:pPr>
            <w:r>
              <w:rPr>
                <w:rFonts w:ascii="仿宋_GB2312" w:hAnsi="仿宋_GB2312" w:cs="仿宋_GB2312" w:eastAsia="仿宋_GB2312"/>
              </w:rPr>
              <w:t>供应商项目实施保障工作有序、到位，针对用户业务现状提供有效、可行的业务连续性方案： 1.实施保障工作满足采购需求的计10分； 2.实施保障工作有待加强的7分； 3.实施保障工作差不全面计4分；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实施计划</w:t>
            </w:r>
          </w:p>
        </w:tc>
        <w:tc>
          <w:tcPr>
            <w:tcW w:type="dxa" w:w="2492"/>
          </w:tcPr>
          <w:p>
            <w:pPr>
              <w:pStyle w:val="null3"/>
            </w:pPr>
            <w:r>
              <w:rPr>
                <w:rFonts w:ascii="仿宋_GB2312" w:hAnsi="仿宋_GB2312" w:cs="仿宋_GB2312" w:eastAsia="仿宋_GB2312"/>
              </w:rPr>
              <w:t>供应商针对本项目实施计划合理，可实现度高，各阶段工作进度和衔接情况说明详细。 1.满足采购需求的得计10分； 2.计划执行、实现程度有待加强的计7分； 3.计划执行、实现程度差，不全面计4分；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根据供应商的维保服务工作，提出确保设备、系统安全可靠的安全策略、措施和步骤进行综合评审： 1.安全体系完整，安全策略及措施步骤内容全面清楚计10分； 2.具有安全体系，安全策略及措施步骤，内容不全面，有欠缺计7分； 3.内容不贴合项目情况，缺项严重计4分；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提供本项目服务质量控制和风险管理相关内容，明确服务质量把控和风险管理措施： 1.服务质量控制措施有力，风险管理措施得当合理，完全满足项目需求10分； 2.服务质量控制措施有力，风险管理措施基本完整，能满足项目基本需求的计7分； 3.服务质量控制措施有力，风险管理措施粗略、简单，基本能满足项目需求计4分；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根据供应商对服务范围制订应急处置方案进行综合评审： 1.应急预案科学合理、针对性强得5分； 2.应急预案合理性、针对性一般得3分； 3.应急预案合理性、针对性不足的得1分；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的特点有完整的售后服务方案，服务方案要对售后服务方式、售后服务组织机构、售后服务工作机制、系统和产品故障责任认定方法、故障等级划分、售后服务响应时间、售后服务人员组成、服务人员岗位职责、备品备件、设备故障应急处理做出详细响应： 1.提供的售后服务方案理解清晰、方案合理、可行性强、证明材料充分、服务承诺的范围满足采购要求计5分； 2.提供的售后服务方案理解程度基本清晰、方案较合理、证明材料有缺失、服务承诺的范围基本满足采购要求计3分； 3.未提供或其他情况不得分。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团队组织结构及人员配备</w:t>
            </w:r>
          </w:p>
        </w:tc>
        <w:tc>
          <w:tcPr>
            <w:tcW w:type="dxa" w:w="2492"/>
          </w:tcPr>
          <w:p>
            <w:pPr>
              <w:pStyle w:val="null3"/>
            </w:pPr>
            <w:r>
              <w:rPr>
                <w:rFonts w:ascii="仿宋_GB2312" w:hAnsi="仿宋_GB2312" w:cs="仿宋_GB2312" w:eastAsia="仿宋_GB2312"/>
              </w:rPr>
              <w:t>拟投入本项目的专业服务团队组织结构合理、人员配备齐全、分工合理，岗位职责明确； 1.安排合理、满足项目需求，得10分； 2.人员配备基本合理，较满足项目需求，得7分； 3.团队组织结构简单、人员配备不足，得4分； 4.未提供或其他情况不得分。 注：提供人员明细表。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人员明细表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从2023年1月1日起至磋商响应文件递交截止时间（以合同签订时间为准）完成类似项目业绩，每提供一份计1分，最多得5分。 注：以磋商响应文件中所附的合同复印件为准。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满足竞争性磋商文件要求且最低的磋商报价为评审基准价，其价格分为满分。各供应商的报价得分按下列公式计算：报价得分=（基准价/磋商报价）×10磋商报价不完整的，不进入磋商基准价的计算，本项得0分。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详见附件：人员明细表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