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版本号：ZCBN-省本级-2026-03556、XHLJZC-SX2026-035.1B120260525001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后勤服务购买专项服务项目(二次)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ZCBN-省本级-2026-03556、XHLJZC-SX2026-035.1B1</w:t>
      </w:r>
      <w:r>
        <w:br/>
      </w:r>
      <w:r>
        <w:br/>
      </w:r>
      <w:r>
        <w:br/>
      </w:r>
    </w:p>
    <w:p>
      <w:pPr>
        <w:pStyle w:val="null3"/>
        <w:jc w:val="center"/>
        <w:outlineLvl w:val="2"/>
      </w:pPr>
      <w:r>
        <w:rPr>
          <w:rFonts w:ascii="仿宋_GB2312" w:hAnsi="仿宋_GB2312" w:cs="仿宋_GB2312" w:eastAsia="仿宋_GB2312"/>
          <w:sz w:val="28"/>
          <w:b/>
        </w:rPr>
        <w:t>陕西省道路运输事业发展中心</w:t>
      </w:r>
    </w:p>
    <w:p>
      <w:pPr>
        <w:pStyle w:val="null3"/>
        <w:jc w:val="center"/>
        <w:outlineLvl w:val="2"/>
      </w:pPr>
      <w:r>
        <w:rPr>
          <w:rFonts w:ascii="仿宋_GB2312" w:hAnsi="仿宋_GB2312" w:cs="仿宋_GB2312" w:eastAsia="仿宋_GB2312"/>
          <w:sz w:val="28"/>
          <w:b/>
        </w:rPr>
        <w:t>西安欣华联建工程咨询有限公司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西安欣华联建工程咨询有限公司</w:t>
      </w:r>
      <w:r>
        <w:rPr>
          <w:rFonts w:ascii="仿宋_GB2312" w:hAnsi="仿宋_GB2312" w:cs="仿宋_GB2312" w:eastAsia="仿宋_GB2312"/>
        </w:rPr>
        <w:t>（以下简称“代理机构”）受</w:t>
      </w:r>
      <w:r>
        <w:rPr>
          <w:rFonts w:ascii="仿宋_GB2312" w:hAnsi="仿宋_GB2312" w:cs="仿宋_GB2312" w:eastAsia="仿宋_GB2312"/>
        </w:rPr>
        <w:t>陕西省道路运输事业发展中心</w:t>
      </w:r>
      <w:r>
        <w:rPr>
          <w:rFonts w:ascii="仿宋_GB2312" w:hAnsi="仿宋_GB2312" w:cs="仿宋_GB2312" w:eastAsia="仿宋_GB2312"/>
        </w:rPr>
        <w:t>委托，拟对</w:t>
      </w:r>
      <w:r>
        <w:rPr>
          <w:rFonts w:ascii="仿宋_GB2312" w:hAnsi="仿宋_GB2312" w:cs="仿宋_GB2312" w:eastAsia="仿宋_GB2312"/>
        </w:rPr>
        <w:t>后勤服务购买专项服务项目(二次)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ZCBN-省本级-2026-03556、XHLJZC-SX2026-035.1B1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后勤服务购买专项服务项目(二次)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综合业务辅助服务，详见磋商文件。</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采购包1（陕西省道路运输事业发展中心后勤服务购买专项服务项目（一包））：属于专门面向中小企业采购。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1、具有独立承担民事责任的能力：供应商应具有独立承担民事责任的能力且具备向采购人提供相关服务的企业法人、其他组织，企业法人应提供统一社会信用代码的营业执照；其他组织应提供合法证明文件。</w:t>
      </w:r>
    </w:p>
    <w:p>
      <w:pPr>
        <w:pStyle w:val="null3"/>
      </w:pPr>
      <w:r>
        <w:rPr>
          <w:rFonts w:ascii="仿宋_GB2312" w:hAnsi="仿宋_GB2312" w:cs="仿宋_GB2312" w:eastAsia="仿宋_GB2312"/>
        </w:rPr>
        <w:t>2、供应商授权合法的人员参加投标全过程：法定代表人授权委托书（附法定代表人身份证复印件）及被授权委托人身份证（法定代表人参加磋商只须提供法定代表人身份证）（提供授权委托书中被委托人递交响应文件截止之日前连续6个月的社会保险缴纳证明（入职未满6个月，按实际入职时间提供社会保险缴纳证明；若入职时间短未缴纳社会保险，需提供劳动合同））。</w:t>
      </w:r>
    </w:p>
    <w:p>
      <w:pPr>
        <w:pStyle w:val="null3"/>
      </w:pPr>
      <w:r>
        <w:rPr>
          <w:rFonts w:ascii="仿宋_GB2312" w:hAnsi="仿宋_GB2312" w:cs="仿宋_GB2312" w:eastAsia="仿宋_GB2312"/>
        </w:rPr>
        <w:t>3、具有良好的商业信誉和健全的财务会计制度：提供2024年度经审计并通过注册会计师行业统一监管平台备案赋码的财务报告或开标前六个月内其基本账户银行出具的资信证明或财政部门认可的政府采购专业担保机构出具的担保函。</w:t>
      </w:r>
    </w:p>
    <w:p>
      <w:pPr>
        <w:pStyle w:val="null3"/>
      </w:pPr>
      <w:r>
        <w:rPr>
          <w:rFonts w:ascii="仿宋_GB2312" w:hAnsi="仿宋_GB2312" w:cs="仿宋_GB2312" w:eastAsia="仿宋_GB2312"/>
        </w:rPr>
        <w:t>4、有依法缴纳税收和社会保障资金的良好记录：提供2025年1月以来任意3个月依法缴纳税收和社会保险的相关证明材料；注：依法免税或不需要缴纳社会保险的供应商提供相关部门出具的证明文件。（以税款所属时期为准）</w:t>
      </w:r>
    </w:p>
    <w:p>
      <w:pPr>
        <w:pStyle w:val="null3"/>
      </w:pPr>
      <w:r>
        <w:rPr>
          <w:rFonts w:ascii="仿宋_GB2312" w:hAnsi="仿宋_GB2312" w:cs="仿宋_GB2312" w:eastAsia="仿宋_GB2312"/>
        </w:rPr>
        <w:t>5、具有履行合同所必需的设备和专业技术能力：提供具有履行合同所必需的设备和专业技术能力的承诺。</w:t>
      </w:r>
    </w:p>
    <w:p>
      <w:pPr>
        <w:pStyle w:val="null3"/>
      </w:pPr>
      <w:r>
        <w:rPr>
          <w:rFonts w:ascii="仿宋_GB2312" w:hAnsi="仿宋_GB2312" w:cs="仿宋_GB2312" w:eastAsia="仿宋_GB2312"/>
        </w:rPr>
        <w:t>6、参加政府采购活动前三年内，在经营活动中没有重大违法记录：提供参加政府采购活动前3年内在经营活动中没有重大违法记录的书面声明。</w:t>
      </w:r>
    </w:p>
    <w:p>
      <w:pPr>
        <w:pStyle w:val="null3"/>
      </w:pPr>
      <w:r>
        <w:rPr>
          <w:rFonts w:ascii="仿宋_GB2312" w:hAnsi="仿宋_GB2312" w:cs="仿宋_GB2312" w:eastAsia="仿宋_GB2312"/>
        </w:rPr>
        <w:t>7、投标承诺：单位负责人为同一人或者存在直接控股、管理关系的不同供应商，不得参加同一合同项下的政府采购活动。</w:t>
      </w:r>
    </w:p>
    <w:p>
      <w:pPr>
        <w:pStyle w:val="null3"/>
      </w:pPr>
      <w:r>
        <w:rPr>
          <w:rFonts w:ascii="仿宋_GB2312" w:hAnsi="仿宋_GB2312" w:cs="仿宋_GB2312" w:eastAsia="仿宋_GB2312"/>
        </w:rPr>
        <w:t>8、声明函：提供《中小企业声明函》；监狱企业应提供监狱企业相关资格证明材料；残疾人福利性单位应提供《残疾人福利性单位声明函》。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陕西省道路运输事业发展中心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西安市药王洞18号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柏老师、邓老师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029-87325978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西安欣华联建工程咨询有限公司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陕西省西安市高新区科技二路71号竹园天寰国际14层1404室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贾静雯、毛嘉伟、樊锐</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029-89182232、029-89183511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采购包1：350,000.00元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说明：1、履约担保的形式：支票、汇票、本票或者金融机构、担保机构出具的保函等非现金形式提交。 2、履约保证金的金额：合同金额的5%。 3、履约保证金交纳时间：发出成交通知书后、签订合同前。 4、履约担保有效期：至服务期满。 5、履约保证金退还时间、条件：采购人在项目完成且服务期间无质量安全争议后退还。 6、供应商不履行与采购人订立的合同的，履约保证金不予退还，给采购人造成的损失超过履约保证金数额的，还应当对超过部分予以赔偿。</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参照原《国家计委关于印发&lt;招标代理服务收费管理暂行办法&gt;的通知》（计价格〔2002〕1980号）的规定标准执行，按差额定率累进法收取费用，100万以下按1.5%收取，100万-500万按0.8%收取。下浮15%。</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陕西省道路运输事业发展中心</w:t>
      </w:r>
      <w:r>
        <w:rPr>
          <w:rFonts w:ascii="仿宋_GB2312" w:hAnsi="仿宋_GB2312" w:cs="仿宋_GB2312" w:eastAsia="仿宋_GB2312"/>
        </w:rPr>
        <w:t>和</w:t>
      </w:r>
      <w:r>
        <w:rPr>
          <w:rFonts w:ascii="仿宋_GB2312" w:hAnsi="仿宋_GB2312" w:cs="仿宋_GB2312" w:eastAsia="仿宋_GB2312"/>
        </w:rPr>
        <w:t>西安欣华联建工程咨询有限公司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陕西省道路运输事业发展中心</w:t>
      </w:r>
      <w:r>
        <w:rPr>
          <w:rFonts w:ascii="仿宋_GB2312" w:hAnsi="仿宋_GB2312" w:cs="仿宋_GB2312" w:eastAsia="仿宋_GB2312"/>
        </w:rPr>
        <w:t>负责解释。除上述磋商文件内容，其他内容由</w:t>
      </w:r>
      <w:r>
        <w:rPr>
          <w:rFonts w:ascii="仿宋_GB2312" w:hAnsi="仿宋_GB2312" w:cs="仿宋_GB2312" w:eastAsia="仿宋_GB2312"/>
        </w:rPr>
        <w:t>西安欣华联建工程咨询有限公司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陕西省道路运输事业发展中心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西安欣华联建工程咨询有限公司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详见采购合同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西安欣华联建工程咨询有限公司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西安欣华联建工程咨询有限公司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西安欣华联建工程咨询有限公司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联系人：贾静雯</w:t>
      </w:r>
    </w:p>
    <w:p>
      <w:pPr>
        <w:pStyle w:val="null3"/>
      </w:pPr>
      <w:r>
        <w:rPr>
          <w:rFonts w:ascii="仿宋_GB2312" w:hAnsi="仿宋_GB2312" w:cs="仿宋_GB2312" w:eastAsia="仿宋_GB2312"/>
        </w:rPr>
        <w:t>联系电话：029-89182232、029-89183511</w:t>
      </w:r>
    </w:p>
    <w:p>
      <w:pPr>
        <w:pStyle w:val="null3"/>
      </w:pPr>
      <w:r>
        <w:rPr>
          <w:rFonts w:ascii="仿宋_GB2312" w:hAnsi="仿宋_GB2312" w:cs="仿宋_GB2312" w:eastAsia="仿宋_GB2312"/>
        </w:rPr>
        <w:t>地址：陕西省西安市高新区科技二路71号竹园天寰国际14层1404室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综合业务辅助服务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350,000.00</w:t>
      </w:r>
    </w:p>
    <w:p>
      <w:pPr>
        <w:pStyle w:val="null3"/>
      </w:pPr>
      <w:r>
        <w:rPr>
          <w:rFonts w:ascii="仿宋_GB2312" w:hAnsi="仿宋_GB2312" w:cs="仿宋_GB2312" w:eastAsia="仿宋_GB2312"/>
        </w:rPr>
        <w:t>采购包最高限价（元）: 350,000.00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后勤服务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350,000.00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租赁和商务服务业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标的名称：后勤服务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rPr>
              <w:t>一、岗位要求</w:t>
            </w:r>
          </w:p>
          <w:p>
            <w:pPr>
              <w:pStyle w:val="null3"/>
              <w:ind w:firstLine="480"/>
              <w:jc w:val="both"/>
            </w:pPr>
            <w:r>
              <w:rPr>
                <w:rFonts w:ascii="仿宋_GB2312" w:hAnsi="仿宋_GB2312" w:cs="仿宋_GB2312" w:eastAsia="仿宋_GB2312"/>
                <w:sz w:val="21"/>
              </w:rPr>
              <w:t>根据工作实际情况，为我单位综合业务提供辅助服务，拟通过提供4名工作人员，需能满足正常工作开展，确保工作顺利进行。</w:t>
            </w:r>
          </w:p>
          <w:p>
            <w:pPr>
              <w:pStyle w:val="null3"/>
              <w:ind w:firstLine="480"/>
              <w:jc w:val="both"/>
            </w:pPr>
            <w:r>
              <w:rPr>
                <w:rFonts w:ascii="仿宋_GB2312" w:hAnsi="仿宋_GB2312" w:cs="仿宋_GB2312" w:eastAsia="仿宋_GB2312"/>
                <w:sz w:val="21"/>
              </w:rPr>
              <w:t>由采购人与供应商签订采购合同，人员薪酬由供应商负责，日常管理由采购人负责。具体招聘标准如下：</w:t>
            </w:r>
          </w:p>
          <w:tbl>
            <w:tblPr>
              <w:tblBorders>
                <w:top w:val="none" w:color="000000" w:sz="4"/>
                <w:left w:val="none" w:color="000000" w:sz="4"/>
                <w:bottom w:val="none" w:color="000000" w:sz="4"/>
                <w:right w:val="none" w:color="000000" w:sz="4"/>
                <w:insideH w:val="none"/>
                <w:insideV w:val="none"/>
              </w:tblBorders>
            </w:tblPr>
            <w:tblGrid>
              <w:gridCol w:w="224"/>
              <w:gridCol w:w="466"/>
              <w:gridCol w:w="226"/>
              <w:gridCol w:w="309"/>
              <w:gridCol w:w="1327"/>
            </w:tblGrid>
            <w:tr>
              <w:tc>
                <w:tcPr>
                  <w:tcW w:type="dxa" w:w="224"/>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序号</w:t>
                  </w:r>
                </w:p>
              </w:tc>
              <w:tc>
                <w:tcPr>
                  <w:tcW w:type="dxa" w:w="466"/>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岗位名称</w:t>
                  </w:r>
                </w:p>
              </w:tc>
              <w:tc>
                <w:tcPr>
                  <w:tcW w:type="dxa" w:w="226"/>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性别</w:t>
                  </w:r>
                </w:p>
              </w:tc>
              <w:tc>
                <w:tcPr>
                  <w:tcW w:type="dxa" w:w="309"/>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年龄</w:t>
                  </w:r>
                </w:p>
              </w:tc>
              <w:tc>
                <w:tcPr>
                  <w:tcW w:type="dxa" w:w="1327"/>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人员要求</w:t>
                  </w:r>
                </w:p>
              </w:tc>
            </w:tr>
            <w:tr>
              <w:tc>
                <w:tcPr>
                  <w:tcW w:type="dxa" w:w="224"/>
                  <w:vMerge/>
                  <w:tcBorders>
                    <w:top w:val="single" w:color="000000" w:sz="4"/>
                    <w:left w:val="single" w:color="000000" w:sz="4"/>
                    <w:bottom w:val="single" w:color="000000" w:sz="4"/>
                    <w:right w:val="single" w:color="000000" w:sz="4"/>
                  </w:tcBorders>
                </w:tcPr>
                <w:p/>
              </w:tc>
              <w:tc>
                <w:tcPr>
                  <w:tcW w:type="dxa" w:w="466"/>
                  <w:vMerge/>
                  <w:tcBorders>
                    <w:top w:val="single" w:color="000000" w:sz="4"/>
                    <w:left w:val="none" w:color="000000" w:sz="4"/>
                    <w:bottom w:val="single" w:color="000000" w:sz="4"/>
                    <w:right w:val="single" w:color="000000" w:sz="4"/>
                  </w:tcBorders>
                </w:tcPr>
                <w:p/>
              </w:tc>
              <w:tc>
                <w:tcPr>
                  <w:tcW w:type="dxa" w:w="226"/>
                  <w:vMerge/>
                  <w:tcBorders>
                    <w:top w:val="single" w:color="000000" w:sz="4"/>
                    <w:left w:val="none" w:color="000000" w:sz="4"/>
                    <w:bottom w:val="single" w:color="000000" w:sz="4"/>
                    <w:right w:val="single" w:color="000000" w:sz="4"/>
                  </w:tcBorders>
                </w:tcPr>
                <w:p/>
              </w:tc>
              <w:tc>
                <w:tcPr>
                  <w:tcW w:type="dxa" w:w="309"/>
                  <w:vMerge/>
                  <w:tcBorders>
                    <w:top w:val="single" w:color="000000" w:sz="4"/>
                    <w:left w:val="none" w:color="000000" w:sz="4"/>
                    <w:bottom w:val="single" w:color="000000" w:sz="4"/>
                    <w:right w:val="single" w:color="000000" w:sz="4"/>
                  </w:tcBorders>
                </w:tcPr>
                <w:p/>
              </w:tc>
              <w:tc>
                <w:tcPr>
                  <w:tcW w:type="dxa" w:w="1327"/>
                  <w:vMerge/>
                  <w:tcBorders>
                    <w:top w:val="single" w:color="000000" w:sz="4"/>
                    <w:left w:val="none" w:color="000000" w:sz="4"/>
                    <w:bottom w:val="single" w:color="000000" w:sz="4"/>
                    <w:right w:val="single" w:color="000000" w:sz="4"/>
                  </w:tcBorders>
                </w:tcPr>
                <w:p/>
              </w:tc>
            </w:tr>
            <w:tr>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安保岗</w:t>
                  </w:r>
                </w:p>
                <w:p>
                  <w:pPr>
                    <w:pStyle w:val="null3"/>
                    <w:jc w:val="center"/>
                  </w:pPr>
                  <w:r>
                    <w:rPr>
                      <w:rFonts w:ascii="仿宋_GB2312" w:hAnsi="仿宋_GB2312" w:cs="仿宋_GB2312" w:eastAsia="仿宋_GB2312"/>
                      <w:sz w:val="21"/>
                    </w:rPr>
                    <w:t>（1人）</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男</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50岁及以下</w:t>
                  </w:r>
                </w:p>
              </w:tc>
              <w:tc>
                <w:tcPr>
                  <w:tcW w:type="dxa" w:w="13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经体检身体健康，应具备基础的服务知识理念，具有良好品格，具有两年及以上从业经验（提供承诺函）。（提供健康证或开标前6个月内的体检证明））</w:t>
                  </w:r>
                </w:p>
              </w:tc>
            </w:tr>
            <w:tr>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驾驶员岗</w:t>
                  </w:r>
                </w:p>
                <w:p>
                  <w:pPr>
                    <w:pStyle w:val="null3"/>
                    <w:jc w:val="center"/>
                  </w:pPr>
                  <w:r>
                    <w:rPr>
                      <w:rFonts w:ascii="仿宋_GB2312" w:hAnsi="仿宋_GB2312" w:cs="仿宋_GB2312" w:eastAsia="仿宋_GB2312"/>
                      <w:sz w:val="21"/>
                    </w:rPr>
                    <w:t>（1人）</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男</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45岁及以下</w:t>
                  </w:r>
                </w:p>
              </w:tc>
              <w:tc>
                <w:tcPr>
                  <w:tcW w:type="dxa" w:w="13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具有有效的机动车驾驶证，实际驾龄8年以上，身体健康，严守规矩，具有一定政治素养，无重大机动车交通事故。业务能力强、经验丰富的可从宽考虑。（提供健康证或开标前6个月内的体检证明）</w:t>
                  </w:r>
                </w:p>
              </w:tc>
            </w:tr>
            <w:tr>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保洁员岗</w:t>
                  </w:r>
                </w:p>
                <w:p>
                  <w:pPr>
                    <w:pStyle w:val="null3"/>
                    <w:jc w:val="center"/>
                  </w:pPr>
                  <w:r>
                    <w:rPr>
                      <w:rFonts w:ascii="仿宋_GB2312" w:hAnsi="仿宋_GB2312" w:cs="仿宋_GB2312" w:eastAsia="仿宋_GB2312"/>
                      <w:sz w:val="21"/>
                    </w:rPr>
                    <w:t>（1人）</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女</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50岁及以下</w:t>
                  </w:r>
                </w:p>
              </w:tc>
              <w:tc>
                <w:tcPr>
                  <w:tcW w:type="dxa" w:w="13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经体检身体健康，应具备基础的服务知识理念，具有良好品格，具有两年及以上从业经验（提供承诺函）。（提供健康证或开标前6个月内的体检证明）</w:t>
                  </w:r>
                </w:p>
              </w:tc>
            </w:tr>
            <w:tr>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印务岗</w:t>
                  </w:r>
                </w:p>
                <w:p>
                  <w:pPr>
                    <w:pStyle w:val="null3"/>
                    <w:jc w:val="center"/>
                  </w:pPr>
                  <w:r>
                    <w:rPr>
                      <w:rFonts w:ascii="仿宋_GB2312" w:hAnsi="仿宋_GB2312" w:cs="仿宋_GB2312" w:eastAsia="仿宋_GB2312"/>
                      <w:sz w:val="21"/>
                    </w:rPr>
                    <w:t>（1人）</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女</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40岁及以下</w:t>
                  </w:r>
                </w:p>
              </w:tc>
              <w:tc>
                <w:tcPr>
                  <w:tcW w:type="dxa" w:w="13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经体检身体健康，应具备基础的服务知识理念，具有良好品格，具有两年及以上从业经验（提供承诺函）。（提供健康证或开标前6个月内的体检证明）</w:t>
                  </w:r>
                </w:p>
              </w:tc>
            </w:tr>
          </w:tbl>
          <w:p>
            <w:pPr>
              <w:pStyle w:val="null3"/>
              <w:ind w:firstLine="480"/>
              <w:jc w:val="both"/>
            </w:pPr>
            <w:r>
              <w:rPr>
                <w:rFonts w:ascii="仿宋_GB2312" w:hAnsi="仿宋_GB2312" w:cs="仿宋_GB2312" w:eastAsia="仿宋_GB2312"/>
                <w:sz w:val="21"/>
              </w:rPr>
              <w:t>注：总人数为4人，具体岗位人数根据工作安排调整。</w:t>
            </w:r>
          </w:p>
          <w:p>
            <w:pPr>
              <w:pStyle w:val="null3"/>
              <w:jc w:val="both"/>
            </w:pPr>
            <w:r>
              <w:rPr>
                <w:rFonts w:ascii="仿宋_GB2312" w:hAnsi="仿宋_GB2312" w:cs="仿宋_GB2312" w:eastAsia="仿宋_GB2312"/>
                <w:sz w:val="21"/>
              </w:rPr>
              <w:t>二、岗位职责</w:t>
            </w:r>
          </w:p>
          <w:p>
            <w:pPr>
              <w:pStyle w:val="null3"/>
              <w:ind w:firstLine="480"/>
              <w:jc w:val="both"/>
            </w:pPr>
            <w:r>
              <w:rPr>
                <w:rFonts w:ascii="仿宋_GB2312" w:hAnsi="仿宋_GB2312" w:cs="仿宋_GB2312" w:eastAsia="仿宋_GB2312"/>
                <w:sz w:val="21"/>
              </w:rPr>
              <w:t>1、安保岗：负责单位各项安全保障工作等。</w:t>
            </w:r>
          </w:p>
          <w:p>
            <w:pPr>
              <w:pStyle w:val="null3"/>
              <w:ind w:firstLine="480"/>
              <w:jc w:val="both"/>
            </w:pPr>
            <w:r>
              <w:rPr>
                <w:rFonts w:ascii="仿宋_GB2312" w:hAnsi="仿宋_GB2312" w:cs="仿宋_GB2312" w:eastAsia="仿宋_GB2312"/>
                <w:sz w:val="21"/>
              </w:rPr>
              <w:t>2、驾驶员岗：在采购单位办公室的领导下，保障单位各项公务出行任务，配合开展公务用车的维修保养及验车年审、车辆运行等服务保障以及相关安全管理工作等。</w:t>
            </w:r>
          </w:p>
          <w:p>
            <w:pPr>
              <w:pStyle w:val="null3"/>
              <w:ind w:firstLine="480"/>
              <w:jc w:val="both"/>
            </w:pPr>
            <w:r>
              <w:rPr>
                <w:rFonts w:ascii="仿宋_GB2312" w:hAnsi="仿宋_GB2312" w:cs="仿宋_GB2312" w:eastAsia="仿宋_GB2312"/>
                <w:sz w:val="21"/>
              </w:rPr>
              <w:t>3、保洁员岗：负责单位指定区域清理整理卫生清洁等工作。</w:t>
            </w:r>
          </w:p>
          <w:p>
            <w:pPr>
              <w:pStyle w:val="null3"/>
              <w:ind w:firstLine="480"/>
              <w:jc w:val="both"/>
            </w:pPr>
            <w:r>
              <w:rPr>
                <w:rFonts w:ascii="仿宋_GB2312" w:hAnsi="仿宋_GB2312" w:cs="仿宋_GB2312" w:eastAsia="仿宋_GB2312"/>
                <w:sz w:val="21"/>
              </w:rPr>
              <w:t>4、印务岗：负责机关相关资料的打印、印刷等工作。</w:t>
            </w:r>
          </w:p>
          <w:p>
            <w:pPr>
              <w:pStyle w:val="null3"/>
              <w:jc w:val="both"/>
            </w:pPr>
            <w:r>
              <w:rPr>
                <w:rFonts w:ascii="仿宋_GB2312" w:hAnsi="仿宋_GB2312" w:cs="仿宋_GB2312" w:eastAsia="仿宋_GB2312"/>
                <w:sz w:val="21"/>
              </w:rPr>
              <w:t>三、服务内容</w:t>
            </w:r>
          </w:p>
          <w:p>
            <w:pPr>
              <w:pStyle w:val="null3"/>
              <w:ind w:firstLine="480"/>
              <w:jc w:val="both"/>
            </w:pPr>
            <w:r>
              <w:rPr>
                <w:rFonts w:ascii="仿宋_GB2312" w:hAnsi="仿宋_GB2312" w:cs="仿宋_GB2312" w:eastAsia="仿宋_GB2312"/>
                <w:sz w:val="21"/>
              </w:rPr>
              <w:t>1、供应商根据采购人的人力资源需求向其提供服务人员，服务人员的人事劳动关系、行政关系、党团关系和工资关系等不发生转移，保留在供应商单位。由供应商依约向采购人提供相关服务项目。</w:t>
            </w:r>
          </w:p>
          <w:p>
            <w:pPr>
              <w:pStyle w:val="null3"/>
              <w:ind w:firstLine="480"/>
              <w:jc w:val="both"/>
            </w:pPr>
            <w:r>
              <w:rPr>
                <w:rFonts w:ascii="仿宋_GB2312" w:hAnsi="仿宋_GB2312" w:cs="仿宋_GB2312" w:eastAsia="仿宋_GB2312"/>
                <w:sz w:val="21"/>
              </w:rPr>
              <w:t>2、供应商中标后，应与采购人签署服务合同，在合同有效期内向采购人提供服务。合同内容应包括：服务岗位、服务期限、工作地点、劳动报酬标准、试用期期限等内容。</w:t>
            </w:r>
          </w:p>
          <w:p>
            <w:pPr>
              <w:pStyle w:val="null3"/>
              <w:ind w:firstLine="480"/>
              <w:jc w:val="both"/>
            </w:pPr>
            <w:r>
              <w:rPr>
                <w:rFonts w:ascii="仿宋_GB2312" w:hAnsi="仿宋_GB2312" w:cs="仿宋_GB2312" w:eastAsia="仿宋_GB2312"/>
                <w:sz w:val="21"/>
              </w:rPr>
              <w:t>3、供应商根据采购人的用工需要及岗位说明书，向采购人推荐人选，并由采购人最终确认。推荐人选的相关费用标准由双方另行约定。</w:t>
            </w:r>
          </w:p>
          <w:p>
            <w:pPr>
              <w:pStyle w:val="null3"/>
              <w:ind w:firstLine="480"/>
              <w:jc w:val="both"/>
            </w:pPr>
            <w:r>
              <w:rPr>
                <w:rFonts w:ascii="仿宋_GB2312" w:hAnsi="仿宋_GB2312" w:cs="仿宋_GB2312" w:eastAsia="仿宋_GB2312"/>
                <w:sz w:val="21"/>
              </w:rPr>
              <w:t>4、对于供应商与服务员工签订劳动合同并提供到采购人处工作的员工，采购人有权设定试用期。</w:t>
            </w:r>
          </w:p>
          <w:p>
            <w:pPr>
              <w:pStyle w:val="null3"/>
              <w:ind w:firstLine="480"/>
              <w:jc w:val="both"/>
            </w:pPr>
            <w:r>
              <w:rPr>
                <w:rFonts w:ascii="仿宋_GB2312" w:hAnsi="仿宋_GB2312" w:cs="仿宋_GB2312" w:eastAsia="仿宋_GB2312"/>
                <w:sz w:val="21"/>
              </w:rPr>
              <w:t>5、采购人有权制定、修改或者决定有关劳动报酬、工作时间、休息休假、劳动安全卫生、保险福利、职员培训、劳动纪律以及劳动定额管理等相关内容，供应商负责依法为员工办理建立、缴纳、转移、享受各项社会保险(养老保险、失业保险、医疗保险、工伤保险、生育保险以及住房公积金等、及其他相关保障措施)及其他社会保险的相关手续。</w:t>
            </w:r>
          </w:p>
          <w:p>
            <w:pPr>
              <w:pStyle w:val="null3"/>
              <w:ind w:firstLine="480"/>
              <w:jc w:val="both"/>
            </w:pPr>
            <w:r>
              <w:rPr>
                <w:rFonts w:ascii="仿宋_GB2312" w:hAnsi="仿宋_GB2312" w:cs="仿宋_GB2312" w:eastAsia="仿宋_GB2312"/>
                <w:sz w:val="21"/>
              </w:rPr>
              <w:t>6、采购人有权根据工作需要对服务员工进行岗前培训。</w:t>
            </w:r>
          </w:p>
          <w:p>
            <w:pPr>
              <w:pStyle w:val="null3"/>
              <w:ind w:firstLine="480"/>
              <w:jc w:val="both"/>
            </w:pPr>
            <w:r>
              <w:rPr>
                <w:rFonts w:ascii="仿宋_GB2312" w:hAnsi="仿宋_GB2312" w:cs="仿宋_GB2312" w:eastAsia="仿宋_GB2312"/>
                <w:sz w:val="21"/>
              </w:rPr>
              <w:t>7、服务人员行为若触犯了刑法等，以及给采购人造成经济损失的，供应商应积极主动配合采购人及公检法部门的工作办理相关事宜。</w:t>
            </w:r>
          </w:p>
          <w:p>
            <w:pPr>
              <w:pStyle w:val="null3"/>
              <w:ind w:firstLine="480"/>
              <w:jc w:val="both"/>
            </w:pPr>
            <w:r>
              <w:rPr>
                <w:rFonts w:ascii="仿宋_GB2312" w:hAnsi="仿宋_GB2312" w:cs="仿宋_GB2312" w:eastAsia="仿宋_GB2312"/>
                <w:sz w:val="21"/>
              </w:rPr>
              <w:t>8、服务员工在履行合同期间发生因工人身伤亡事故时，采购人在事发24小时内电话及书面通知供应商，并提供所需资料，由供应商统计、上报、申请理赔。供应商申报完成后，工伤保险机构将赔付及支付待遇支付给供应商后，供应商应依法及时足额支付给员工及其家属。</w:t>
            </w:r>
          </w:p>
          <w:p>
            <w:pPr>
              <w:pStyle w:val="null3"/>
              <w:ind w:firstLine="480"/>
              <w:jc w:val="both"/>
            </w:pPr>
            <w:r>
              <w:rPr>
                <w:rFonts w:ascii="仿宋_GB2312" w:hAnsi="仿宋_GB2312" w:cs="仿宋_GB2312" w:eastAsia="仿宋_GB2312"/>
                <w:sz w:val="21"/>
              </w:rPr>
              <w:t>9、被服务人员非因工死亡时，社会保险应支付给服务员工的费用由供应商负责按照社会保险机构的规定申领并依法支付给服务员工家属。</w:t>
            </w:r>
          </w:p>
          <w:p>
            <w:pPr>
              <w:pStyle w:val="null3"/>
              <w:ind w:firstLine="480"/>
              <w:jc w:val="both"/>
            </w:pPr>
            <w:r>
              <w:rPr>
                <w:rFonts w:ascii="仿宋_GB2312" w:hAnsi="仿宋_GB2312" w:cs="仿宋_GB2312" w:eastAsia="仿宋_GB2312"/>
                <w:sz w:val="21"/>
              </w:rPr>
              <w:t>10、服务期内服务员工如有不规范行为或违反采购人工作规定，采购人有权通知供应商立即替换服务人员，且无须向供应商支付经济补偿，影响我单位正常秩序、造成我单位经济损失的或被追究相应责任的，我单位有权追究该供应商的责任。</w:t>
            </w:r>
          </w:p>
          <w:p>
            <w:pPr>
              <w:pStyle w:val="null3"/>
              <w:ind w:firstLine="480"/>
              <w:jc w:val="both"/>
            </w:pPr>
            <w:r>
              <w:rPr>
                <w:rFonts w:ascii="仿宋_GB2312" w:hAnsi="仿宋_GB2312" w:cs="仿宋_GB2312" w:eastAsia="仿宋_GB2312"/>
                <w:sz w:val="21"/>
              </w:rPr>
              <w:t>11、供应商根据服务员工工资表，申报社会保险缴费基数，负责代扣代缴应由员工个人缴纳的社会保险费、个人所得税和依法应予代扣代缴的其他费用后，以银行工资卡的方式，按规定的时间发放服务人员的工资。</w:t>
            </w:r>
          </w:p>
          <w:p>
            <w:pPr>
              <w:pStyle w:val="null3"/>
              <w:ind w:firstLine="480"/>
              <w:jc w:val="both"/>
            </w:pPr>
            <w:r>
              <w:rPr>
                <w:rFonts w:ascii="仿宋_GB2312" w:hAnsi="仿宋_GB2312" w:cs="仿宋_GB2312" w:eastAsia="仿宋_GB2312"/>
                <w:sz w:val="21"/>
              </w:rPr>
              <w:t>12、如遇纠纷，由供应商负责处理纠纷，服务员工的辞退手续，应由供应商负责。</w:t>
            </w:r>
          </w:p>
          <w:p>
            <w:pPr>
              <w:pStyle w:val="null3"/>
              <w:ind w:firstLine="480"/>
              <w:jc w:val="both"/>
            </w:pPr>
            <w:r>
              <w:rPr>
                <w:rFonts w:ascii="仿宋_GB2312" w:hAnsi="仿宋_GB2312" w:cs="仿宋_GB2312" w:eastAsia="仿宋_GB2312"/>
                <w:sz w:val="21"/>
              </w:rPr>
              <w:t>13、供应商应负责所有人事档案相关事宜，包括但不限于相关人事档案的收集、鉴定和管理、移交等。</w:t>
            </w:r>
          </w:p>
          <w:p>
            <w:pPr>
              <w:pStyle w:val="null3"/>
              <w:jc w:val="both"/>
            </w:pPr>
            <w:r>
              <w:rPr>
                <w:rFonts w:ascii="仿宋_GB2312" w:hAnsi="仿宋_GB2312" w:cs="仿宋_GB2312" w:eastAsia="仿宋_GB2312"/>
                <w:sz w:val="21"/>
              </w:rPr>
              <w:t>四、其他要求</w:t>
            </w:r>
          </w:p>
          <w:p>
            <w:pPr>
              <w:pStyle w:val="null3"/>
              <w:ind w:firstLine="480"/>
              <w:jc w:val="both"/>
            </w:pPr>
            <w:r>
              <w:rPr>
                <w:rFonts w:ascii="仿宋_GB2312" w:hAnsi="仿宋_GB2312" w:cs="仿宋_GB2312" w:eastAsia="仿宋_GB2312"/>
                <w:sz w:val="21"/>
              </w:rPr>
              <w:t>1、如采购人委托供应商招聘，对供应商提供的人员不满意，要求更换时，供应商必须及时且无条件地更换合格的人员。</w:t>
            </w:r>
          </w:p>
          <w:p>
            <w:pPr>
              <w:pStyle w:val="null3"/>
              <w:ind w:firstLine="480"/>
              <w:jc w:val="both"/>
            </w:pPr>
            <w:r>
              <w:rPr>
                <w:rFonts w:ascii="仿宋_GB2312" w:hAnsi="仿宋_GB2312" w:cs="仿宋_GB2312" w:eastAsia="仿宋_GB2312"/>
                <w:sz w:val="21"/>
              </w:rPr>
              <w:t>2、服务期内，采购人按季度对供应商的工作质量、履约情况、社保购买情况、工作配合度等进行综合评价，评价合格则继续履行服务合同。如项目服务未达到要求，则采购人有权终止服务合同。</w:t>
            </w:r>
          </w:p>
          <w:p>
            <w:pPr>
              <w:pStyle w:val="null3"/>
              <w:ind w:firstLine="480"/>
              <w:jc w:val="both"/>
            </w:pPr>
            <w:r>
              <w:rPr>
                <w:rFonts w:ascii="仿宋_GB2312" w:hAnsi="仿宋_GB2312" w:cs="仿宋_GB2312" w:eastAsia="仿宋_GB2312"/>
                <w:sz w:val="21"/>
              </w:rPr>
              <w:t>3、供应商对服务人员的工作由采购人进行分配、管理，对服务人员的奖惩、撤换或辞退等须经采购人同意认可。</w:t>
            </w:r>
          </w:p>
          <w:p>
            <w:pPr>
              <w:pStyle w:val="null3"/>
              <w:ind w:firstLine="480"/>
              <w:jc w:val="both"/>
            </w:pPr>
            <w:r>
              <w:rPr>
                <w:rFonts w:ascii="仿宋_GB2312" w:hAnsi="仿宋_GB2312" w:cs="仿宋_GB2312" w:eastAsia="仿宋_GB2312"/>
                <w:sz w:val="21"/>
              </w:rPr>
              <w:t>4、供应商应全权负责员工的劳动关系管理、社会保险缴纳及享受、薪酬的核发、劳动纠纷处理、人事政策咨询等内容，并承担全部用工风险，确保采购方不承担任何劳动关系法律责任。</w:t>
            </w:r>
          </w:p>
          <w:p>
            <w:pPr>
              <w:pStyle w:val="null3"/>
              <w:ind w:firstLine="480"/>
              <w:jc w:val="both"/>
            </w:pPr>
            <w:r>
              <w:rPr>
                <w:rFonts w:ascii="仿宋_GB2312" w:hAnsi="仿宋_GB2312" w:cs="仿宋_GB2312" w:eastAsia="仿宋_GB2312"/>
                <w:sz w:val="21"/>
              </w:rPr>
              <w:t>5、为保证服务人员工作期间的正常用餐，供应商应给予服务人员食堂补助330元/人/月，由员工入职后上交采购人工会。</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12个月（具体服务日期以采购人指定时间为准）</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陕西省道路运输事业发展中心指定地点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服务期满后由供应商提供《××政府采购项目绩效目标表》（见合同附件1）及书面申请提请验收，供应商应按照采购人要求提供验收所需全部资料，采购人负责组织验收；供应商应按采购人要求做好项目验收等相关资料的准备工作，并做好会务工作，同时递交相关存档资料。</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 xml:space="preserve"> 付款条件说明： </w:t>
      </w:r>
      <w:r>
        <w:rPr>
          <w:rFonts w:ascii="仿宋_GB2312" w:hAnsi="仿宋_GB2312" w:cs="仿宋_GB2312" w:eastAsia="仿宋_GB2312"/>
        </w:rPr>
        <w:t>合同签订后，供应商应在合同签订之日起30日内确保服务人员全部到位。服务人员全部到位并经采购方验收合格后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 支付合同总金额的</w:t>
      </w:r>
      <w:r>
        <w:rPr>
          <w:rFonts w:ascii="仿宋_GB2312" w:hAnsi="仿宋_GB2312" w:cs="仿宋_GB2312" w:eastAsia="仿宋_GB2312"/>
        </w:rPr>
        <w:t>50.00</w:t>
      </w:r>
      <w:r>
        <w:rPr>
          <w:rFonts w:ascii="仿宋_GB2312" w:hAnsi="仿宋_GB2312" w:cs="仿宋_GB2312" w:eastAsia="仿宋_GB2312"/>
        </w:rPr>
        <w:t>%。</w:t>
      </w:r>
    </w:p>
    <w:p>
      <w:pPr>
        <w:pStyle w:val="null3"/>
        <w:ind w:firstLine="1200"/>
      </w:pPr>
      <w:r>
        <w:rPr>
          <w:rFonts w:ascii="仿宋_GB2312" w:hAnsi="仿宋_GB2312" w:cs="仿宋_GB2312" w:eastAsia="仿宋_GB2312"/>
        </w:rPr>
        <w:t>2、</w:t>
      </w:r>
      <w:r>
        <w:rPr>
          <w:rFonts w:ascii="仿宋_GB2312" w:hAnsi="仿宋_GB2312" w:cs="仿宋_GB2312" w:eastAsia="仿宋_GB2312"/>
        </w:rPr>
        <w:t xml:space="preserve"> 付款条件说明： </w:t>
      </w:r>
      <w:r>
        <w:rPr>
          <w:rFonts w:ascii="仿宋_GB2312" w:hAnsi="仿宋_GB2312" w:cs="仿宋_GB2312" w:eastAsia="仿宋_GB2312"/>
        </w:rPr>
        <w:t>供应商已向采购人提交符合合同约定标准的阶段性工作成果及书面付款申请并经甲方审核通过后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 支付合同总金额的</w:t>
      </w:r>
      <w:r>
        <w:rPr>
          <w:rFonts w:ascii="仿宋_GB2312" w:hAnsi="仿宋_GB2312" w:cs="仿宋_GB2312" w:eastAsia="仿宋_GB2312"/>
        </w:rPr>
        <w:t>50.00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采购人逾期付款，应就逾期部分向供应商支付按照中国人民银行规定的同期贷款基准利率计算的逾期付款违约金。2、采购人违反合同规定拒绝接收服务的，应当承担由此对供应商造成的损失。3、如果由于采购方因国家政策的要求进行单位变更、机构改革等其他原因导致合同无法履行，采购方可解除合同，不承担任何责任。采购方预付的合同款项供应商应予退还。4、供应商不能按期完成服务的，每逾期1日，应向采购人赔付合同总价的0.1%作为违约金。5、供应商所提供的服务不符合国家法律法规和合同规定的，采购人有权拒收，并由供应商承担一切费用。争议解决：双方本着友好合作的态度,对合同履行过程中发生的违约行为进行及时的协商解决,如不能协商解决可向采购人住所地法院起诉。</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如果由于采购方人因国家政策的要求进行单位变更、机构改革等其他原因导致合同无法履行，采购方人可解除合同，不承担任何责任。采购方人预付的合同款项供应商应予退还。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w:t>
            </w:r>
          </w:p>
        </w:tc>
        <w:tc>
          <w:tcPr>
            <w:tcW w:type="dxa" w:w="3322"/>
          </w:tcPr>
          <w:p>
            <w:pPr>
              <w:pStyle w:val="null3"/>
            </w:pPr>
            <w:r>
              <w:rPr>
                <w:rFonts w:ascii="仿宋_GB2312" w:hAnsi="仿宋_GB2312" w:cs="仿宋_GB2312" w:eastAsia="仿宋_GB2312"/>
              </w:rPr>
              <w:t>供应商应具有独立承担民事责任的能力且具备向采购人提供相关服务的企业法人、其他组织，企业法人应提供统一社会信用代码的营业执照；其他组织应提供合法证明文件。</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供应商授权合法的人员参加投标全过程</w:t>
            </w:r>
          </w:p>
        </w:tc>
        <w:tc>
          <w:tcPr>
            <w:tcW w:type="dxa" w:w="3322"/>
          </w:tcPr>
          <w:p>
            <w:pPr>
              <w:pStyle w:val="null3"/>
            </w:pPr>
            <w:r>
              <w:rPr>
                <w:rFonts w:ascii="仿宋_GB2312" w:hAnsi="仿宋_GB2312" w:cs="仿宋_GB2312" w:eastAsia="仿宋_GB2312"/>
              </w:rPr>
              <w:t>法定代表人授权委托书（附法定代表人身份证复印件）及被授权委托人身份证（法定代表人参加磋商只须提供法定代表人身份证）（提供授权委托书中被委托人递交响应文件截止之日前连续6个月的社会保险缴纳证明（入职未满6个月，按实际入职时间提供社会保险缴纳证明；若入职时间短未缴纳社会保险，需提供劳动合同））。</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具有良好的商业信誉和健全的财务会计制度</w:t>
            </w:r>
          </w:p>
        </w:tc>
        <w:tc>
          <w:tcPr>
            <w:tcW w:type="dxa" w:w="3322"/>
          </w:tcPr>
          <w:p>
            <w:pPr>
              <w:pStyle w:val="null3"/>
            </w:pPr>
            <w:r>
              <w:rPr>
                <w:rFonts w:ascii="仿宋_GB2312" w:hAnsi="仿宋_GB2312" w:cs="仿宋_GB2312" w:eastAsia="仿宋_GB2312"/>
              </w:rPr>
              <w:t>提供2024年度经审计并通过注册会计师行业统一监管平台备案赋码的财务报告或开标前六个月内其基本账户银行出具的资信证明或财政部门认可的政府采购专业担保机构出具的担保函。</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有依法缴纳税收和社会保障资金的良好记录</w:t>
            </w:r>
          </w:p>
        </w:tc>
        <w:tc>
          <w:tcPr>
            <w:tcW w:type="dxa" w:w="3322"/>
          </w:tcPr>
          <w:p>
            <w:pPr>
              <w:pStyle w:val="null3"/>
            </w:pPr>
            <w:r>
              <w:rPr>
                <w:rFonts w:ascii="仿宋_GB2312" w:hAnsi="仿宋_GB2312" w:cs="仿宋_GB2312" w:eastAsia="仿宋_GB2312"/>
              </w:rPr>
              <w:t>提供2025年1月以来任意3个月依法缴纳税收和社会保险的相关证明材料；注：依法免税或不需要缴纳社会保险的供应商提供相关部门出具的证明文件。（以税款所属时期为准）</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提供具有履行合同所必需的设备和专业技术能力的承诺。</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参加政府采购活动前三年内，在经营活动中没有重大违法记录</w:t>
            </w:r>
          </w:p>
        </w:tc>
        <w:tc>
          <w:tcPr>
            <w:tcW w:type="dxa" w:w="3322"/>
          </w:tcPr>
          <w:p>
            <w:pPr>
              <w:pStyle w:val="null3"/>
            </w:pPr>
            <w:r>
              <w:rPr>
                <w:rFonts w:ascii="仿宋_GB2312" w:hAnsi="仿宋_GB2312" w:cs="仿宋_GB2312" w:eastAsia="仿宋_GB2312"/>
              </w:rPr>
              <w:t>提供参加政府采购活动前3年内在经营活动中没有重大违法记录的书面声明。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投标承诺</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声明函</w:t>
            </w:r>
          </w:p>
        </w:tc>
        <w:tc>
          <w:tcPr>
            <w:tcW w:type="dxa" w:w="3322"/>
          </w:tcPr>
          <w:p>
            <w:pPr>
              <w:pStyle w:val="null3"/>
            </w:pPr>
            <w:r>
              <w:rPr>
                <w:rFonts w:ascii="仿宋_GB2312" w:hAnsi="仿宋_GB2312" w:cs="仿宋_GB2312" w:eastAsia="仿宋_GB2312"/>
              </w:rPr>
              <w:t>提供《中小企业声明函》；监狱企业应提供监狱企业相关资格证明材料；残疾人福利性单位应提供《残疾人福利性单位声明函》。</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磋商小组认为投标人报价明显低于其他实质性响应的投标人报价，有可能影响服务质量或者不能诚信履约的，磋商小组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响应文件签章 （实质性要求）</w:t>
            </w:r>
          </w:p>
        </w:tc>
        <w:tc>
          <w:tcPr>
            <w:tcW w:type="dxa" w:w="3322"/>
          </w:tcPr>
          <w:p>
            <w:pPr>
              <w:pStyle w:val="null3"/>
            </w:pPr>
            <w:r>
              <w:rPr>
                <w:rFonts w:ascii="仿宋_GB2312" w:hAnsi="仿宋_GB2312" w:cs="仿宋_GB2312" w:eastAsia="仿宋_GB2312"/>
              </w:rPr>
              <w:t>响应文件、响应函加盖单位公章、经法定代表人或被授权委托人签字或盖章</w:t>
            </w:r>
          </w:p>
        </w:tc>
        <w:tc>
          <w:tcPr>
            <w:tcW w:type="dxa" w:w="1661"/>
          </w:tcPr>
          <w:p>
            <w:pPr>
              <w:pStyle w:val="null3"/>
            </w:pPr>
            <w:r>
              <w:rPr>
                <w:rFonts w:ascii="仿宋_GB2312" w:hAnsi="仿宋_GB2312" w:cs="仿宋_GB2312" w:eastAsia="仿宋_GB2312"/>
              </w:rPr>
              <w:t>中小企业声明函 技术要求响应表 报价表 商务要求响应表 响应文件封面 费用组成表 政府采购供应商拒绝政府采购领域商业贿赂承诺书 磋商方案说明 残疾人福利性单位声明函 标的清单 供应商承诺书 响应函 业绩证明文件 监狱企业的证明文件 供应商资格证明文件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响应文件有效期 （实质性要求）</w:t>
            </w:r>
          </w:p>
        </w:tc>
        <w:tc>
          <w:tcPr>
            <w:tcW w:type="dxa" w:w="3322"/>
          </w:tcPr>
          <w:p>
            <w:pPr>
              <w:pStyle w:val="null3"/>
            </w:pPr>
            <w:r>
              <w:rPr>
                <w:rFonts w:ascii="仿宋_GB2312" w:hAnsi="仿宋_GB2312" w:cs="仿宋_GB2312" w:eastAsia="仿宋_GB2312"/>
              </w:rPr>
              <w:t>从提交竞争性磋商响应文件的截止之日起不少于90日历日</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磋商报价 （实质性要求）</w:t>
            </w:r>
          </w:p>
        </w:tc>
        <w:tc>
          <w:tcPr>
            <w:tcW w:type="dxa" w:w="3322"/>
          </w:tcPr>
          <w:p>
            <w:pPr>
              <w:pStyle w:val="null3"/>
            </w:pPr>
            <w:r>
              <w:rPr>
                <w:rFonts w:ascii="仿宋_GB2312" w:hAnsi="仿宋_GB2312" w:cs="仿宋_GB2312" w:eastAsia="仿宋_GB2312"/>
              </w:rPr>
              <w:t>（1）报价未超过本项目预算金额（2）未出现选择性报价</w:t>
            </w:r>
          </w:p>
        </w:tc>
        <w:tc>
          <w:tcPr>
            <w:tcW w:type="dxa" w:w="1661"/>
          </w:tcPr>
          <w:p>
            <w:pPr>
              <w:pStyle w:val="null3"/>
            </w:pPr>
            <w:r>
              <w:rPr>
                <w:rFonts w:ascii="仿宋_GB2312" w:hAnsi="仿宋_GB2312" w:cs="仿宋_GB2312" w:eastAsia="仿宋_GB2312"/>
              </w:rPr>
              <w:t>费用组成表 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文件响应情况 （实质性要求）</w:t>
            </w:r>
          </w:p>
        </w:tc>
        <w:tc>
          <w:tcPr>
            <w:tcW w:type="dxa" w:w="3322"/>
          </w:tcPr>
          <w:p>
            <w:pPr>
              <w:pStyle w:val="null3"/>
            </w:pPr>
            <w:r>
              <w:rPr>
                <w:rFonts w:ascii="仿宋_GB2312" w:hAnsi="仿宋_GB2312" w:cs="仿宋_GB2312" w:eastAsia="仿宋_GB2312"/>
              </w:rPr>
              <w:t>（1）符合商务、技术要求，不存在重大负偏离（2）未附有采购人不能接受的条件（3）符合磋商文件规定的其他实质性要求（4）未违反《中华人民共和国政府采购法》和其他相关法律、法规的规定</w:t>
            </w:r>
          </w:p>
        </w:tc>
        <w:tc>
          <w:tcPr>
            <w:tcW w:type="dxa" w:w="1661"/>
          </w:tcPr>
          <w:p>
            <w:pPr>
              <w:pStyle w:val="null3"/>
            </w:pPr>
            <w:r>
              <w:rPr>
                <w:rFonts w:ascii="仿宋_GB2312" w:hAnsi="仿宋_GB2312" w:cs="仿宋_GB2312" w:eastAsia="仿宋_GB2312"/>
              </w:rPr>
              <w:t>技术要求响应表 商务要求响应表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商务要求</w:t>
            </w:r>
          </w:p>
        </w:tc>
        <w:tc>
          <w:tcPr>
            <w:tcW w:type="dxa" w:w="2492"/>
          </w:tcPr>
          <w:p>
            <w:pPr>
              <w:pStyle w:val="null3"/>
            </w:pPr>
            <w:r>
              <w:rPr>
                <w:rFonts w:ascii="仿宋_GB2312" w:hAnsi="仿宋_GB2312" w:cs="仿宋_GB2312" w:eastAsia="仿宋_GB2312"/>
              </w:rPr>
              <w:t>对商务要求完全响应磋商文件要求的得2分。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商务要求响应表</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1、评审内容 供应商提供针对本项目的服务方案，内容包括： ①服务目标、内容； ②项目计划安排； ③项目质量保障； ④各岗位服务方案。 2、评审标准 ①完整性：方案须全面，对评审内容中的各项要求有详细描述及说明； ②可实施性：切合本项目实际情况，实施步骤清晰、合理； ③针对性：方案能够紧扣项目实际情况，内容科学合理。 3、赋分标准 ①服务目标、内容：每完全满足一项评审标准得1.5分；满分4.5分； ②项目计划安排：每完全满足一项评审标准得1.5分；满分4.5分； ③项目质量保障：每完全满足一项评审标准得1.5分；满分4.5分； ④各岗位服务方案：每完全满足一项评审标准得1.5分；满分4.5分。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w:t>
            </w:r>
          </w:p>
        </w:tc>
      </w:tr>
      <w:tr>
        <w:tc>
          <w:tcPr>
            <w:tcW w:type="dxa" w:w="831"/>
            <w:vMerge/>
          </w:tcPr>
          <w:p/>
        </w:tc>
        <w:tc>
          <w:tcPr>
            <w:tcW w:type="dxa" w:w="1661"/>
          </w:tcPr>
          <w:p>
            <w:pPr>
              <w:pStyle w:val="null3"/>
            </w:pPr>
            <w:r>
              <w:rPr>
                <w:rFonts w:ascii="仿宋_GB2312" w:hAnsi="仿宋_GB2312" w:cs="仿宋_GB2312" w:eastAsia="仿宋_GB2312"/>
              </w:rPr>
              <w:t>服务保障</w:t>
            </w:r>
          </w:p>
        </w:tc>
        <w:tc>
          <w:tcPr>
            <w:tcW w:type="dxa" w:w="2492"/>
          </w:tcPr>
          <w:p>
            <w:pPr>
              <w:pStyle w:val="null3"/>
            </w:pPr>
            <w:r>
              <w:rPr>
                <w:rFonts w:ascii="仿宋_GB2312" w:hAnsi="仿宋_GB2312" w:cs="仿宋_GB2312" w:eastAsia="仿宋_GB2312"/>
              </w:rPr>
              <w:t>1、评审内容 供应商提供针对本项目的服务保障措施，内容包括： ①质量保障措施； ②服务协调措施。 2、评审标准 ①完整性：方案内容全面，对评审内容中的各项要求有详细描述及说明； ②可实施性：方案科学合理，可操作性强； ③针对性：方案能紧扣本项目实际情况，满足本项目各项具体要求。 3、赋分标准 ①质量保障措施：每完全满足一项评审标准得1分，满分3分； ②服务协调措施：每完全满足一项评审标准得1分，满分3分。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w:t>
            </w:r>
          </w:p>
        </w:tc>
      </w:tr>
      <w:tr>
        <w:tc>
          <w:tcPr>
            <w:tcW w:type="dxa" w:w="831"/>
            <w:vMerge/>
          </w:tcP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1、评审内容 供应商提供针对本项目的管理制度，内容包括： ①人员管理制度； ②岗位制度； ③内控制度； ④保密制度； ⑤廉洁敬业制度。 2、评审标准 ①完整性：方案须全面，对评审内容中的各项要求有详细描述及说明； ②可实施性：切合本项目实际情况，实施步骤清晰、合理； ③针对性：方案能够紧扣项目实际情况，内容科学合理。 3、赋分标准 ①人员管理制度：每完全满足一项评审标准得1分，满分3分； ②岗位制度：每完全满足一项评审标准得1分，满分3分； ③内控制度：每完全满足一项评审标准得1分，满分3分； ④保密制度：每完全满足一项评审标准得1分，满分3分； ⑤廉洁敬业制度：每完全满足一项评审标准得1分，满分3分。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w:t>
            </w:r>
          </w:p>
        </w:tc>
      </w:tr>
      <w:tr>
        <w:tc>
          <w:tcPr>
            <w:tcW w:type="dxa" w:w="831"/>
            <w:vMerge/>
          </w:tcPr>
          <w:p/>
        </w:tc>
        <w:tc>
          <w:tcPr>
            <w:tcW w:type="dxa" w:w="1661"/>
          </w:tcPr>
          <w:p>
            <w:pPr>
              <w:pStyle w:val="null3"/>
            </w:pPr>
            <w:r>
              <w:rPr>
                <w:rFonts w:ascii="仿宋_GB2312" w:hAnsi="仿宋_GB2312" w:cs="仿宋_GB2312" w:eastAsia="仿宋_GB2312"/>
              </w:rPr>
              <w:t>工作人员组成情况</w:t>
            </w:r>
          </w:p>
        </w:tc>
        <w:tc>
          <w:tcPr>
            <w:tcW w:type="dxa" w:w="2492"/>
          </w:tcPr>
          <w:p>
            <w:pPr>
              <w:pStyle w:val="null3"/>
            </w:pPr>
            <w:r>
              <w:rPr>
                <w:rFonts w:ascii="仿宋_GB2312" w:hAnsi="仿宋_GB2312" w:cs="仿宋_GB2312" w:eastAsia="仿宋_GB2312"/>
              </w:rPr>
              <w:t>1、评审内容 供应商提供拟派本项目工作人员组成情况（有具体成员名单，包括姓名、工作经验、工作职责、联系方式等。项目所有参与人员需递交响应文件截止之日前连续6个月的社会保险缴纳证明（入职未满6个月，按实际入职时间提供社会保险缴纳证明；若入职时间短未缴纳社会保险，需提供劳动合同）） 2、评审标准 ①针对性：人员资格/年龄等符合采购需求； ②专业性：人员相关岗位经验丰富，切合本项目实际情况。 3、赋分标准 每完全满足一项评审标准得3分，部分满足得2分，不满足或未提供不得分，满分9分。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1、评审内容 针对本项目特点提供应急预案，预案内容包含： ①人员调整方案； ②工作对接方案； ③应急事件处理； ④服务纠纷处理。 2、评审标准 ①完整性：措施须全面，对评审内容中的各项要求有详细描述及说明； ②可实施性：切合本项目实际情况，实施步骤清晰、合理； ③针对性：措施能够紧扣项目实际情况，内容科学合理。 3、赋分标准 ①人员调整方案：每完全满足一项评审标准得1分，满分3分； ②工作对接方案：每完全满足一项评审标准得1分，满分3分； ③应急事件处理：每完全满足一项评审标准得1分，满分3分； ④服务纠纷处理：每完全满足一项评审标准得1分，满分3分。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1、评审内容 供应商提供针对本项目具体的服务承诺，内容包括： ①响应时间及方式； ②定期进行服务调研及满意度评价。 2、评审标准 ①完整性：承诺须全面，对评审内容中的各项要求有详细描述及说明； ②可实施性：切合本项目实际情况，步骤清晰、合理，操作性强； ③针对性：承诺能够紧扣项目实际情况，内容科学合理。 3、赋分标准 ①响应时间及方式：每完全满足一项评审标准得1.5分，满分4.5分； ②定期进行服务调研及满意度评价：每完全满足一项评审标准得1.5分，满分4.5分。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1、评审内容 供应商提供针对本项目具体的培训方案，内容包括： ①岗前培训； ②定期培训； ③职业操守及道德。 2、评审标准 ①完整性：承诺须全面，对评审内容中的各项要求有详细描述及说明； ②可实施性：切合本项目实际情况，步骤清晰、合理，操作性强； ③针对性：承诺能够紧扣项目实际情况，内容科学合理。 3、赋分标准 ①岗前培训：每完全满足一项评审标准得1分，满分3分； ②定期培训：每完全满足一项评审标准得1分，满分3分； ③职业操守及道德：每完全满足一项评审标准得1分，满分3分。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w:t>
            </w:r>
          </w:p>
        </w:tc>
      </w:tr>
      <w:tr>
        <w:tc>
          <w:tcPr>
            <w:tcW w:type="dxa" w:w="831"/>
            <w:vMerge/>
          </w:tcPr>
          <w:p/>
        </w:tc>
        <w:tc>
          <w:tcPr>
            <w:tcW w:type="dxa" w:w="1661"/>
          </w:tcPr>
          <w:p>
            <w:pPr>
              <w:pStyle w:val="null3"/>
            </w:pPr>
            <w:r>
              <w:rPr>
                <w:rFonts w:ascii="仿宋_GB2312" w:hAnsi="仿宋_GB2312" w:cs="仿宋_GB2312" w:eastAsia="仿宋_GB2312"/>
              </w:rPr>
              <w:t>业绩证明</w:t>
            </w:r>
          </w:p>
        </w:tc>
        <w:tc>
          <w:tcPr>
            <w:tcW w:type="dxa" w:w="2492"/>
          </w:tcPr>
          <w:p>
            <w:pPr>
              <w:pStyle w:val="null3"/>
            </w:pPr>
            <w:r>
              <w:rPr>
                <w:rFonts w:ascii="仿宋_GB2312" w:hAnsi="仿宋_GB2312" w:cs="仿宋_GB2312" w:eastAsia="仿宋_GB2312"/>
              </w:rPr>
              <w:t>提供2023年1月1日以来供应商类似项目的业绩合同（以合同签订日期为准），附业绩合同复印件加盖公章，每份2分，满分10分。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业绩证明文件</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费用组成表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得分采用低价优先法计算，即满足磋商文件要求且最终报价最低的供应商的价格为磋商基准价，其价格得分为满分。其他供应商的价格得分统一按照下列公式计算：磋商报价得分=（磋商基准价/最终磋商报价）×价格权值（10%）×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详见附件：磋商方案说明</w:t>
      </w:r>
    </w:p>
    <w:p>
      <w:pPr>
        <w:pStyle w:val="null3"/>
        <w:ind w:firstLine="960"/>
      </w:pPr>
      <w:r>
        <w:rPr>
          <w:rFonts w:ascii="仿宋_GB2312" w:hAnsi="仿宋_GB2312" w:cs="仿宋_GB2312" w:eastAsia="仿宋_GB2312"/>
        </w:rPr>
        <w:t>详见附件：费用组成表</w:t>
      </w:r>
    </w:p>
    <w:p>
      <w:pPr>
        <w:pStyle w:val="null3"/>
        <w:ind w:firstLine="960"/>
      </w:pPr>
      <w:r>
        <w:rPr>
          <w:rFonts w:ascii="仿宋_GB2312" w:hAnsi="仿宋_GB2312" w:cs="仿宋_GB2312" w:eastAsia="仿宋_GB2312"/>
        </w:rPr>
        <w:t>详见附件：供应商承诺书</w:t>
      </w:r>
    </w:p>
    <w:p>
      <w:pPr>
        <w:pStyle w:val="null3"/>
        <w:ind w:firstLine="960"/>
      </w:pPr>
      <w:r>
        <w:rPr>
          <w:rFonts w:ascii="仿宋_GB2312" w:hAnsi="仿宋_GB2312" w:cs="仿宋_GB2312" w:eastAsia="仿宋_GB2312"/>
        </w:rPr>
        <w:t>详见附件：供应商资格证明文件</w:t>
      </w:r>
    </w:p>
    <w:p>
      <w:pPr>
        <w:pStyle w:val="null3"/>
        <w:ind w:firstLine="960"/>
      </w:pPr>
      <w:r>
        <w:rPr>
          <w:rFonts w:ascii="仿宋_GB2312" w:hAnsi="仿宋_GB2312" w:cs="仿宋_GB2312" w:eastAsia="仿宋_GB2312"/>
        </w:rPr>
        <w:t>详见附件：商务要求响应表</w:t>
      </w:r>
    </w:p>
    <w:p>
      <w:pPr>
        <w:pStyle w:val="null3"/>
        <w:ind w:firstLine="960"/>
      </w:pPr>
      <w:r>
        <w:rPr>
          <w:rFonts w:ascii="仿宋_GB2312" w:hAnsi="仿宋_GB2312" w:cs="仿宋_GB2312" w:eastAsia="仿宋_GB2312"/>
        </w:rPr>
        <w:t>详见附件：业绩证明文件</w:t>
      </w:r>
    </w:p>
    <w:p>
      <w:pPr>
        <w:pStyle w:val="null3"/>
        <w:ind w:firstLine="960"/>
      </w:pPr>
      <w:r>
        <w:rPr>
          <w:rFonts w:ascii="仿宋_GB2312" w:hAnsi="仿宋_GB2312" w:cs="仿宋_GB2312" w:eastAsia="仿宋_GB2312"/>
        </w:rPr>
        <w:t>详见附件：政府采购供应商拒绝政府采购领域商业贿赂承诺书</w:t>
      </w:r>
    </w:p>
    <w:p>
      <w:pPr>
        <w:pStyle w:val="null3"/>
        <w:ind w:firstLine="960"/>
      </w:pPr>
      <w:r>
        <w:rPr>
          <w:rFonts w:ascii="仿宋_GB2312" w:hAnsi="仿宋_GB2312" w:cs="仿宋_GB2312" w:eastAsia="仿宋_GB2312"/>
        </w:rPr>
        <w:t>详见附件：技术要求响应表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详见附件：采购合同.docx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