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A5980">
      <w:pPr>
        <w:shd w:val="solid" w:color="FFFFFF" w:fill="auto"/>
        <w:autoSpaceDN w:val="0"/>
        <w:jc w:val="center"/>
        <w:rPr>
          <w:rFonts w:ascii="黑体" w:hAnsi="黑体" w:eastAsia="黑体"/>
          <w:spacing w:val="-20"/>
          <w:sz w:val="44"/>
          <w:szCs w:val="44"/>
          <w:shd w:val="clear" w:color="auto" w:fill="FFFFFF"/>
        </w:rPr>
      </w:pPr>
      <w:r>
        <w:rPr>
          <w:rFonts w:hint="eastAsia" w:ascii="黑体" w:hAnsi="黑体" w:eastAsia="黑体"/>
          <w:b/>
          <w:spacing w:val="-20"/>
          <w:sz w:val="44"/>
          <w:szCs w:val="44"/>
          <w:shd w:val="clear" w:color="auto" w:fill="FFFFFF"/>
        </w:rPr>
        <w:t>咸阳职业技术学院</w:t>
      </w:r>
    </w:p>
    <w:p w14:paraId="6EF3DFE7">
      <w:pPr>
        <w:shd w:val="solid" w:color="FFFFFF" w:fill="auto"/>
        <w:autoSpaceDN w:val="0"/>
        <w:jc w:val="center"/>
        <w:rPr>
          <w:shd w:val="clear" w:color="auto" w:fill="FFFFFF"/>
        </w:rPr>
      </w:pPr>
      <w:r>
        <w:rPr>
          <w:rFonts w:hint="eastAsia" w:ascii="黑体" w:hAnsi="黑体" w:eastAsia="黑体"/>
          <w:b/>
          <w:sz w:val="52"/>
          <w:shd w:val="clear" w:color="auto" w:fill="FFFFFF"/>
        </w:rPr>
        <w:t>合同</w:t>
      </w:r>
    </w:p>
    <w:p w14:paraId="3D67A6C5">
      <w:pPr>
        <w:shd w:val="solid" w:color="FFFFFF" w:fill="auto"/>
        <w:autoSpaceDN w:val="0"/>
        <w:rPr>
          <w:shd w:val="clear" w:color="auto" w:fill="FFFFFF"/>
        </w:rPr>
      </w:pPr>
    </w:p>
    <w:p w14:paraId="6C527260">
      <w:pPr>
        <w:shd w:val="solid" w:color="FFFFFF" w:fill="auto"/>
        <w:autoSpaceDN w:val="0"/>
        <w:jc w:val="center"/>
        <w:rPr>
          <w:shd w:val="clear" w:color="auto" w:fill="FFFFFF"/>
        </w:rPr>
      </w:pPr>
      <w:r>
        <w:rPr>
          <w:rFonts w:ascii="黑体" w:hAnsi="黑体" w:eastAsia="黑体"/>
          <w:sz w:val="30"/>
          <w:shd w:val="clear" w:color="auto" w:fill="FFFFFF"/>
        </w:rPr>
        <w:t xml:space="preserve"> </w:t>
      </w:r>
    </w:p>
    <w:p w14:paraId="5756B716">
      <w:pPr>
        <w:shd w:val="solid" w:color="FFFFFF" w:fill="auto"/>
        <w:autoSpaceDN w:val="0"/>
        <w:jc w:val="center"/>
        <w:rPr>
          <w:rFonts w:ascii="黑体" w:hAnsi="黑体" w:eastAsia="黑体"/>
          <w:sz w:val="30"/>
          <w:shd w:val="clear" w:color="auto" w:fill="FFFFFF"/>
        </w:rPr>
      </w:pPr>
      <w:r>
        <w:rPr>
          <w:rFonts w:ascii="黑体" w:hAnsi="黑体" w:eastAsia="黑体"/>
          <w:sz w:val="30"/>
          <w:shd w:val="clear" w:color="auto" w:fill="FFFFFF"/>
        </w:rPr>
        <w:t xml:space="preserve"> </w:t>
      </w:r>
    </w:p>
    <w:p w14:paraId="18D47B57">
      <w:pPr>
        <w:shd w:val="solid" w:color="FFFFFF" w:fill="auto"/>
        <w:autoSpaceDN w:val="0"/>
        <w:jc w:val="center"/>
        <w:rPr>
          <w:rFonts w:ascii="黑体" w:hAnsi="黑体" w:eastAsia="黑体"/>
          <w:sz w:val="30"/>
          <w:shd w:val="clear" w:color="auto" w:fill="FFFFFF"/>
        </w:rPr>
      </w:pPr>
    </w:p>
    <w:p w14:paraId="5798D1D3">
      <w:pPr>
        <w:shd w:val="solid" w:color="FFFFFF" w:fill="auto"/>
        <w:autoSpaceDN w:val="0"/>
        <w:jc w:val="center"/>
        <w:rPr>
          <w:rFonts w:ascii="黑体" w:hAnsi="黑体" w:eastAsia="黑体"/>
          <w:sz w:val="30"/>
          <w:shd w:val="clear" w:color="auto" w:fill="FFFFFF"/>
        </w:rPr>
      </w:pPr>
    </w:p>
    <w:p w14:paraId="0CEC1E03">
      <w:pPr>
        <w:shd w:val="solid" w:color="FFFFFF" w:fill="auto"/>
        <w:autoSpaceDN w:val="0"/>
        <w:jc w:val="center"/>
        <w:rPr>
          <w:rFonts w:ascii="黑体" w:hAnsi="黑体" w:eastAsia="黑体"/>
          <w:sz w:val="30"/>
          <w:shd w:val="clear" w:color="auto" w:fill="FFFFFF"/>
        </w:rPr>
      </w:pPr>
    </w:p>
    <w:p w14:paraId="1AFE8C55">
      <w:pPr>
        <w:shd w:val="solid" w:color="FFFFFF" w:fill="auto"/>
        <w:autoSpaceDN w:val="0"/>
        <w:jc w:val="center"/>
        <w:rPr>
          <w:rFonts w:ascii="黑体" w:hAnsi="黑体" w:eastAsia="黑体"/>
          <w:sz w:val="30"/>
          <w:shd w:val="clear" w:color="auto" w:fill="FFFFFF"/>
        </w:rPr>
      </w:pPr>
    </w:p>
    <w:p w14:paraId="014B20DD">
      <w:pPr>
        <w:shd w:val="solid" w:color="FFFFFF" w:fill="auto"/>
        <w:autoSpaceDN w:val="0"/>
        <w:jc w:val="center"/>
        <w:rPr>
          <w:shd w:val="clear" w:color="auto" w:fill="FFFFFF"/>
        </w:rPr>
      </w:pPr>
    </w:p>
    <w:p w14:paraId="3D0075D5">
      <w:pPr>
        <w:shd w:val="solid" w:color="FFFFFF" w:fill="auto"/>
        <w:autoSpaceDN w:val="0"/>
        <w:jc w:val="center"/>
        <w:rPr>
          <w:shd w:val="clear" w:color="auto" w:fill="FFFFFF"/>
        </w:rPr>
      </w:pPr>
    </w:p>
    <w:p w14:paraId="69F19CF6">
      <w:pPr>
        <w:shd w:val="solid" w:color="FFFFFF" w:fill="auto"/>
        <w:autoSpaceDN w:val="0"/>
        <w:jc w:val="center"/>
        <w:rPr>
          <w:shd w:val="clear" w:color="auto" w:fill="FFFFFF"/>
        </w:rPr>
      </w:pPr>
    </w:p>
    <w:p w14:paraId="205C469A">
      <w:pPr>
        <w:shd w:val="solid" w:color="FFFFFF" w:fill="auto"/>
        <w:autoSpaceDN w:val="0"/>
        <w:rPr>
          <w:shd w:val="clear" w:color="auto" w:fill="FFFFFF"/>
        </w:rPr>
      </w:pPr>
      <w:r>
        <w:rPr>
          <w:rFonts w:ascii="黑体" w:hAnsi="黑体" w:eastAsia="黑体"/>
          <w:sz w:val="28"/>
          <w:shd w:val="clear" w:color="auto" w:fill="FFFFFF"/>
        </w:rPr>
        <w:t xml:space="preserve"> </w:t>
      </w:r>
    </w:p>
    <w:p w14:paraId="24727DE6">
      <w:pPr>
        <w:shd w:val="solid" w:color="FFFFFF" w:fill="auto"/>
        <w:autoSpaceDN w:val="0"/>
        <w:rPr>
          <w:shd w:val="clear" w:color="auto" w:fill="FFFFFF"/>
        </w:rPr>
      </w:pPr>
      <w:r>
        <w:rPr>
          <w:rFonts w:ascii="黑体" w:hAnsi="黑体" w:eastAsia="黑体"/>
          <w:sz w:val="30"/>
          <w:shd w:val="clear" w:color="auto" w:fill="FFFFFF"/>
        </w:rPr>
        <w:t xml:space="preserve"> </w:t>
      </w:r>
    </w:p>
    <w:p w14:paraId="17A90754">
      <w:pPr>
        <w:shd w:val="solid" w:color="FFFFFF" w:fill="auto"/>
        <w:autoSpaceDN w:val="0"/>
        <w:ind w:firstLine="1600" w:firstLineChars="500"/>
        <w:rPr>
          <w:rFonts w:hint="eastAsia" w:eastAsia="黑体"/>
          <w:shd w:val="clear" w:color="auto" w:fill="FFFFFF"/>
        </w:rPr>
      </w:pPr>
      <w:r>
        <w:rPr>
          <w:rFonts w:hint="eastAsia" w:ascii="黑体" w:hAnsi="黑体" w:eastAsia="黑体"/>
          <w:sz w:val="32"/>
          <w:shd w:val="clear" w:color="auto" w:fill="FFFFFF"/>
        </w:rPr>
        <w:t>甲</w:t>
      </w:r>
      <w:r>
        <w:rPr>
          <w:rFonts w:ascii="黑体" w:hAnsi="黑体" w:eastAsia="黑体"/>
          <w:sz w:val="32"/>
          <w:shd w:val="clear" w:color="auto" w:fill="FFFFFF"/>
        </w:rPr>
        <w:t xml:space="preserve"> </w:t>
      </w:r>
      <w:r>
        <w:rPr>
          <w:rFonts w:hint="eastAsia" w:ascii="黑体" w:hAnsi="黑体" w:eastAsia="黑体"/>
          <w:sz w:val="32"/>
          <w:shd w:val="clear" w:color="auto" w:fill="FFFFFF"/>
        </w:rPr>
        <w:t>方：咸阳职业技术学院</w:t>
      </w:r>
    </w:p>
    <w:p w14:paraId="576B4951">
      <w:pPr>
        <w:shd w:val="solid" w:color="FFFFFF" w:fill="auto"/>
        <w:tabs>
          <w:tab w:val="left" w:pos="480"/>
        </w:tabs>
        <w:autoSpaceDN w:val="0"/>
        <w:ind w:firstLine="640" w:firstLineChars="200"/>
        <w:rPr>
          <w:shd w:val="clear" w:color="auto" w:fill="FFFFFF"/>
        </w:rPr>
      </w:pPr>
      <w:r>
        <w:rPr>
          <w:rFonts w:ascii="黑体" w:hAnsi="黑体" w:eastAsia="黑体"/>
          <w:sz w:val="32"/>
          <w:shd w:val="clear" w:color="auto" w:fill="FFFFFF"/>
        </w:rPr>
        <w:t xml:space="preserve">      </w:t>
      </w:r>
      <w:r>
        <w:rPr>
          <w:rFonts w:hint="eastAsia" w:ascii="黑体" w:hAnsi="黑体" w:eastAsia="黑体"/>
          <w:sz w:val="32"/>
          <w:shd w:val="clear" w:color="auto" w:fill="FFFFFF"/>
        </w:rPr>
        <w:t>乙</w:t>
      </w:r>
      <w:r>
        <w:rPr>
          <w:rFonts w:ascii="黑体" w:hAnsi="黑体" w:eastAsia="黑体"/>
          <w:sz w:val="32"/>
          <w:shd w:val="clear" w:color="auto" w:fill="FFFFFF"/>
        </w:rPr>
        <w:t xml:space="preserve"> </w:t>
      </w:r>
      <w:r>
        <w:rPr>
          <w:rFonts w:hint="eastAsia" w:ascii="黑体" w:hAnsi="黑体" w:eastAsia="黑体"/>
          <w:sz w:val="32"/>
          <w:shd w:val="clear" w:color="auto" w:fill="FFFFFF"/>
        </w:rPr>
        <w:t>方：</w:t>
      </w:r>
    </w:p>
    <w:p w14:paraId="47D955AB">
      <w:pPr>
        <w:jc w:val="center"/>
        <w:rPr>
          <w:rFonts w:hint="eastAsia" w:ascii="宋体" w:hAnsi="宋体"/>
          <w:b/>
          <w:bCs/>
          <w:sz w:val="32"/>
          <w:szCs w:val="32"/>
        </w:rPr>
      </w:pPr>
      <w:bookmarkStart w:id="0" w:name="_Toc1075"/>
      <w:bookmarkStart w:id="1" w:name="_Toc22798"/>
      <w:bookmarkStart w:id="2" w:name="_Toc16696"/>
      <w:bookmarkStart w:id="3" w:name="_Toc7714"/>
      <w:bookmarkStart w:id="4" w:name="_Toc25053"/>
      <w:bookmarkStart w:id="5" w:name="_Toc13740"/>
      <w:bookmarkStart w:id="6" w:name="_Toc15790"/>
      <w:bookmarkStart w:id="7" w:name="_Toc21875"/>
      <w:bookmarkStart w:id="8" w:name="_Toc21769"/>
      <w:bookmarkStart w:id="9" w:name="_Toc27214"/>
      <w:bookmarkStart w:id="10" w:name="_Toc30907"/>
      <w:bookmarkStart w:id="11" w:name="_Toc4189"/>
      <w:bookmarkStart w:id="12" w:name="_Toc29335"/>
    </w:p>
    <w:p w14:paraId="615B1B59">
      <w:pPr>
        <w:jc w:val="center"/>
        <w:rPr>
          <w:rFonts w:hint="eastAsia" w:ascii="宋体" w:hAnsi="宋体"/>
          <w:b/>
          <w:bCs/>
          <w:sz w:val="32"/>
          <w:szCs w:val="32"/>
        </w:rPr>
      </w:pPr>
    </w:p>
    <w:p w14:paraId="33159E2A">
      <w:pPr>
        <w:jc w:val="center"/>
        <w:rPr>
          <w:rFonts w:hint="eastAsia" w:ascii="宋体" w:hAnsi="宋体"/>
          <w:b/>
          <w:bCs/>
          <w:sz w:val="32"/>
          <w:szCs w:val="32"/>
        </w:rPr>
      </w:pPr>
    </w:p>
    <w:p w14:paraId="01B86CA9">
      <w:pPr>
        <w:jc w:val="center"/>
        <w:rPr>
          <w:rFonts w:ascii="宋体" w:hAnsi="宋体"/>
          <w:b/>
          <w:bCs/>
          <w:sz w:val="32"/>
          <w:szCs w:val="32"/>
        </w:rPr>
      </w:pPr>
      <w:r>
        <w:rPr>
          <w:rFonts w:hint="eastAsia" w:ascii="宋体" w:hAnsi="宋体"/>
          <w:b/>
          <w:bCs/>
          <w:sz w:val="32"/>
          <w:szCs w:val="32"/>
        </w:rPr>
        <w:t>签订日期：</w:t>
      </w:r>
      <w:bookmarkEnd w:id="0"/>
      <w:bookmarkEnd w:id="1"/>
      <w:bookmarkEnd w:id="2"/>
      <w:bookmarkEnd w:id="3"/>
      <w:bookmarkEnd w:id="4"/>
      <w:bookmarkEnd w:id="5"/>
      <w:bookmarkEnd w:id="6"/>
      <w:bookmarkEnd w:id="7"/>
      <w:bookmarkEnd w:id="8"/>
      <w:bookmarkEnd w:id="9"/>
      <w:bookmarkEnd w:id="10"/>
      <w:bookmarkEnd w:id="11"/>
      <w:bookmarkEnd w:id="12"/>
      <w:r>
        <w:rPr>
          <w:rFonts w:hint="eastAsia" w:ascii="宋体" w:hAnsi="宋体"/>
          <w:b/>
          <w:bCs/>
          <w:sz w:val="32"/>
          <w:szCs w:val="32"/>
        </w:rPr>
        <w:t xml:space="preserve">     年    月    日</w:t>
      </w:r>
    </w:p>
    <w:p w14:paraId="2FB952CF">
      <w:pPr>
        <w:shd w:val="solid" w:color="FFFFFF" w:fill="auto"/>
        <w:autoSpaceDN w:val="0"/>
        <w:rPr>
          <w:rFonts w:ascii="黑体" w:hAnsi="黑体" w:eastAsia="黑体"/>
          <w:sz w:val="30"/>
          <w:shd w:val="clear" w:color="auto" w:fill="FFFFFF"/>
        </w:rPr>
      </w:pPr>
      <w:r>
        <w:rPr>
          <w:rFonts w:ascii="黑体" w:hAnsi="黑体" w:eastAsia="黑体"/>
          <w:sz w:val="30"/>
          <w:shd w:val="clear" w:color="auto" w:fill="FFFFFF"/>
        </w:rPr>
        <w:t xml:space="preserve"> </w:t>
      </w:r>
    </w:p>
    <w:p w14:paraId="17FB8282">
      <w:pPr>
        <w:snapToGrid w:val="0"/>
        <w:spacing w:line="360" w:lineRule="auto"/>
        <w:rPr>
          <w:rFonts w:hint="eastAsia" w:ascii="宋体" w:hAnsi="宋体"/>
          <w:b/>
        </w:rPr>
        <w:sectPr>
          <w:headerReference r:id="rId3" w:type="default"/>
          <w:footerReference r:id="rId4" w:type="default"/>
          <w:footerReference r:id="rId5" w:type="even"/>
          <w:pgSz w:w="11906" w:h="16838"/>
          <w:pgMar w:top="1440" w:right="1803" w:bottom="1440" w:left="1803" w:header="851" w:footer="992" w:gutter="0"/>
          <w:cols w:space="720" w:num="1"/>
          <w:docGrid w:type="lines" w:linePitch="326" w:charSpace="0"/>
        </w:sectPr>
      </w:pPr>
    </w:p>
    <w:p w14:paraId="3319B2CD">
      <w:pPr>
        <w:snapToGrid w:val="0"/>
        <w:spacing w:line="360" w:lineRule="auto"/>
        <w:rPr>
          <w:rFonts w:ascii="宋体" w:hAnsi="宋体"/>
          <w:b/>
        </w:rPr>
      </w:pPr>
      <w:r>
        <w:rPr>
          <w:rFonts w:hint="eastAsia" w:ascii="宋体" w:hAnsi="宋体"/>
          <w:b/>
        </w:rPr>
        <w:t>甲 方：</w:t>
      </w:r>
      <w:r>
        <w:rPr>
          <w:rFonts w:ascii="宋体" w:hAnsi="宋体"/>
          <w:b/>
        </w:rPr>
        <w:t>咸阳职业技术学院</w:t>
      </w:r>
    </w:p>
    <w:p w14:paraId="21FA3C80">
      <w:pPr>
        <w:snapToGrid w:val="0"/>
        <w:spacing w:line="360" w:lineRule="auto"/>
        <w:rPr>
          <w:rFonts w:ascii="宋体" w:hAnsi="宋体"/>
          <w:b/>
        </w:rPr>
      </w:pPr>
      <w:r>
        <w:rPr>
          <w:rFonts w:hint="eastAsia" w:ascii="宋体" w:hAnsi="宋体"/>
          <w:b/>
        </w:rPr>
        <w:t>乙 方：</w:t>
      </w:r>
    </w:p>
    <w:p w14:paraId="5AC4BCEB">
      <w:pPr>
        <w:tabs>
          <w:tab w:val="left" w:pos="5670"/>
        </w:tabs>
        <w:autoSpaceDE w:val="0"/>
        <w:autoSpaceDN w:val="0"/>
        <w:adjustRightInd w:val="0"/>
        <w:snapToGrid w:val="0"/>
        <w:spacing w:line="520" w:lineRule="exact"/>
        <w:ind w:firstLine="420" w:firstLineChars="200"/>
        <w:jc w:val="left"/>
        <w:rPr>
          <w:rFonts w:ascii="宋体" w:hAnsi="宋体"/>
        </w:rPr>
      </w:pPr>
      <w:r>
        <w:rPr>
          <w:rFonts w:hint="eastAsia" w:ascii="宋体" w:hAnsi="宋体"/>
        </w:rPr>
        <w:t>根据《中华人民共和国政府采购法》、《中华人民共和国招标投标法》、《中华人民共和国民法典》以及该项目招标文件、乙方投标文件、中标通知书，甲方选定乙方为甲方项目的中标单位。甲、乙双方经平等协商，就该项目采购事宜自愿达成如下合同条款。</w:t>
      </w:r>
    </w:p>
    <w:p w14:paraId="48383BE7">
      <w:pPr>
        <w:tabs>
          <w:tab w:val="left" w:pos="5670"/>
        </w:tabs>
        <w:autoSpaceDE w:val="0"/>
        <w:autoSpaceDN w:val="0"/>
        <w:adjustRightInd w:val="0"/>
        <w:snapToGrid w:val="0"/>
        <w:spacing w:line="520" w:lineRule="exact"/>
        <w:ind w:firstLine="422" w:firstLineChars="200"/>
        <w:jc w:val="left"/>
        <w:rPr>
          <w:rFonts w:ascii="宋体" w:hAnsi="宋体"/>
          <w:b/>
        </w:rPr>
      </w:pPr>
      <w:r>
        <w:rPr>
          <w:rFonts w:hint="eastAsia" w:ascii="宋体" w:hAnsi="宋体"/>
          <w:b/>
        </w:rPr>
        <w:t>一、采购内容清单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2975"/>
        <w:gridCol w:w="787"/>
        <w:gridCol w:w="870"/>
        <w:gridCol w:w="1524"/>
        <w:gridCol w:w="1692"/>
      </w:tblGrid>
      <w:tr w14:paraId="0FCC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13EB1986">
            <w:pPr>
              <w:widowControl/>
              <w:jc w:val="center"/>
              <w:rPr>
                <w:b/>
                <w:kern w:val="0"/>
                <w:sz w:val="22"/>
                <w:szCs w:val="21"/>
              </w:rPr>
            </w:pPr>
            <w:r>
              <w:rPr>
                <w:b/>
                <w:kern w:val="0"/>
                <w:sz w:val="22"/>
                <w:szCs w:val="21"/>
              </w:rPr>
              <w:t>序号</w:t>
            </w:r>
          </w:p>
        </w:tc>
        <w:tc>
          <w:tcPr>
            <w:tcW w:w="2975" w:type="dxa"/>
            <w:noWrap w:val="0"/>
            <w:vAlign w:val="center"/>
          </w:tcPr>
          <w:p w14:paraId="02AC5925">
            <w:pPr>
              <w:widowControl/>
              <w:jc w:val="center"/>
              <w:rPr>
                <w:b/>
                <w:kern w:val="0"/>
                <w:sz w:val="22"/>
                <w:szCs w:val="21"/>
              </w:rPr>
            </w:pPr>
            <w:r>
              <w:rPr>
                <w:b/>
                <w:kern w:val="0"/>
                <w:sz w:val="22"/>
                <w:szCs w:val="21"/>
              </w:rPr>
              <w:t>设备名称、型号</w:t>
            </w:r>
          </w:p>
        </w:tc>
        <w:tc>
          <w:tcPr>
            <w:tcW w:w="787" w:type="dxa"/>
            <w:noWrap w:val="0"/>
            <w:vAlign w:val="center"/>
          </w:tcPr>
          <w:p w14:paraId="28630E34">
            <w:pPr>
              <w:widowControl/>
              <w:jc w:val="center"/>
              <w:rPr>
                <w:b/>
                <w:kern w:val="0"/>
                <w:sz w:val="22"/>
                <w:szCs w:val="21"/>
              </w:rPr>
            </w:pPr>
            <w:r>
              <w:rPr>
                <w:b/>
                <w:kern w:val="0"/>
                <w:sz w:val="22"/>
                <w:szCs w:val="21"/>
              </w:rPr>
              <w:t>单位</w:t>
            </w:r>
          </w:p>
        </w:tc>
        <w:tc>
          <w:tcPr>
            <w:tcW w:w="870" w:type="dxa"/>
            <w:noWrap w:val="0"/>
            <w:vAlign w:val="center"/>
          </w:tcPr>
          <w:p w14:paraId="5C666BFC">
            <w:pPr>
              <w:widowControl/>
              <w:jc w:val="center"/>
              <w:rPr>
                <w:b/>
                <w:kern w:val="0"/>
                <w:sz w:val="22"/>
                <w:szCs w:val="21"/>
              </w:rPr>
            </w:pPr>
            <w:r>
              <w:rPr>
                <w:b/>
                <w:kern w:val="0"/>
                <w:sz w:val="22"/>
                <w:szCs w:val="21"/>
              </w:rPr>
              <w:t>数量</w:t>
            </w:r>
          </w:p>
        </w:tc>
        <w:tc>
          <w:tcPr>
            <w:tcW w:w="1524" w:type="dxa"/>
            <w:noWrap w:val="0"/>
            <w:vAlign w:val="center"/>
          </w:tcPr>
          <w:p w14:paraId="56FFD9E9">
            <w:pPr>
              <w:widowControl/>
              <w:jc w:val="center"/>
              <w:rPr>
                <w:b/>
                <w:kern w:val="0"/>
                <w:sz w:val="22"/>
                <w:szCs w:val="21"/>
              </w:rPr>
            </w:pPr>
            <w:r>
              <w:rPr>
                <w:b/>
                <w:kern w:val="0"/>
                <w:sz w:val="22"/>
                <w:szCs w:val="21"/>
              </w:rPr>
              <w:t>单价</w:t>
            </w:r>
          </w:p>
        </w:tc>
        <w:tc>
          <w:tcPr>
            <w:tcW w:w="1692" w:type="dxa"/>
            <w:noWrap w:val="0"/>
            <w:vAlign w:val="center"/>
          </w:tcPr>
          <w:p w14:paraId="7BF79032">
            <w:pPr>
              <w:widowControl/>
              <w:jc w:val="center"/>
              <w:rPr>
                <w:b/>
                <w:kern w:val="0"/>
                <w:sz w:val="22"/>
                <w:szCs w:val="21"/>
              </w:rPr>
            </w:pPr>
            <w:r>
              <w:rPr>
                <w:b/>
                <w:kern w:val="0"/>
                <w:sz w:val="22"/>
                <w:szCs w:val="21"/>
              </w:rPr>
              <w:t>总 价</w:t>
            </w:r>
          </w:p>
        </w:tc>
      </w:tr>
      <w:tr w14:paraId="077B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4CA12835">
            <w:pPr>
              <w:widowControl/>
              <w:jc w:val="center"/>
              <w:rPr>
                <w:kern w:val="0"/>
              </w:rPr>
            </w:pPr>
            <w:r>
              <w:rPr>
                <w:kern w:val="0"/>
              </w:rPr>
              <w:t>1</w:t>
            </w:r>
          </w:p>
        </w:tc>
        <w:tc>
          <w:tcPr>
            <w:tcW w:w="2975" w:type="dxa"/>
            <w:noWrap w:val="0"/>
            <w:vAlign w:val="center"/>
          </w:tcPr>
          <w:p w14:paraId="2AF81F7E">
            <w:pPr>
              <w:widowControl/>
              <w:jc w:val="center"/>
              <w:rPr>
                <w:kern w:val="0"/>
              </w:rPr>
            </w:pPr>
          </w:p>
        </w:tc>
        <w:tc>
          <w:tcPr>
            <w:tcW w:w="787" w:type="dxa"/>
            <w:noWrap w:val="0"/>
            <w:vAlign w:val="center"/>
          </w:tcPr>
          <w:p w14:paraId="03C2E89A">
            <w:pPr>
              <w:widowControl/>
              <w:jc w:val="center"/>
              <w:rPr>
                <w:kern w:val="0"/>
              </w:rPr>
            </w:pPr>
          </w:p>
        </w:tc>
        <w:tc>
          <w:tcPr>
            <w:tcW w:w="870" w:type="dxa"/>
            <w:noWrap w:val="0"/>
            <w:vAlign w:val="center"/>
          </w:tcPr>
          <w:p w14:paraId="1B76614B">
            <w:pPr>
              <w:widowControl/>
              <w:jc w:val="center"/>
              <w:rPr>
                <w:kern w:val="0"/>
              </w:rPr>
            </w:pPr>
          </w:p>
        </w:tc>
        <w:tc>
          <w:tcPr>
            <w:tcW w:w="1524" w:type="dxa"/>
            <w:noWrap w:val="0"/>
            <w:vAlign w:val="center"/>
          </w:tcPr>
          <w:p w14:paraId="5CF5592F">
            <w:pPr>
              <w:widowControl/>
              <w:jc w:val="center"/>
              <w:rPr>
                <w:kern w:val="0"/>
              </w:rPr>
            </w:pPr>
          </w:p>
        </w:tc>
        <w:tc>
          <w:tcPr>
            <w:tcW w:w="1692" w:type="dxa"/>
            <w:noWrap w:val="0"/>
            <w:vAlign w:val="center"/>
          </w:tcPr>
          <w:p w14:paraId="5614006E">
            <w:pPr>
              <w:widowControl/>
              <w:jc w:val="center"/>
              <w:rPr>
                <w:kern w:val="0"/>
              </w:rPr>
            </w:pPr>
          </w:p>
        </w:tc>
      </w:tr>
      <w:tr w14:paraId="58FE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394BA37C">
            <w:pPr>
              <w:widowControl/>
              <w:jc w:val="center"/>
              <w:rPr>
                <w:kern w:val="0"/>
              </w:rPr>
            </w:pPr>
            <w:r>
              <w:rPr>
                <w:rFonts w:hint="eastAsia"/>
                <w:kern w:val="0"/>
              </w:rPr>
              <w:t>2</w:t>
            </w:r>
          </w:p>
        </w:tc>
        <w:tc>
          <w:tcPr>
            <w:tcW w:w="2975" w:type="dxa"/>
            <w:noWrap w:val="0"/>
            <w:vAlign w:val="center"/>
          </w:tcPr>
          <w:p w14:paraId="4B19EDF8">
            <w:pPr>
              <w:widowControl/>
              <w:jc w:val="center"/>
              <w:rPr>
                <w:kern w:val="0"/>
              </w:rPr>
            </w:pPr>
          </w:p>
        </w:tc>
        <w:tc>
          <w:tcPr>
            <w:tcW w:w="787" w:type="dxa"/>
            <w:noWrap w:val="0"/>
            <w:vAlign w:val="center"/>
          </w:tcPr>
          <w:p w14:paraId="3E242D13">
            <w:pPr>
              <w:widowControl/>
              <w:jc w:val="center"/>
              <w:rPr>
                <w:kern w:val="0"/>
              </w:rPr>
            </w:pPr>
          </w:p>
        </w:tc>
        <w:tc>
          <w:tcPr>
            <w:tcW w:w="870" w:type="dxa"/>
            <w:noWrap w:val="0"/>
            <w:vAlign w:val="center"/>
          </w:tcPr>
          <w:p w14:paraId="3EF846D5">
            <w:pPr>
              <w:widowControl/>
              <w:jc w:val="center"/>
              <w:rPr>
                <w:kern w:val="0"/>
              </w:rPr>
            </w:pPr>
          </w:p>
        </w:tc>
        <w:tc>
          <w:tcPr>
            <w:tcW w:w="1524" w:type="dxa"/>
            <w:noWrap w:val="0"/>
            <w:vAlign w:val="center"/>
          </w:tcPr>
          <w:p w14:paraId="3CD5BD3D">
            <w:pPr>
              <w:widowControl/>
              <w:jc w:val="center"/>
              <w:rPr>
                <w:kern w:val="0"/>
              </w:rPr>
            </w:pPr>
          </w:p>
        </w:tc>
        <w:tc>
          <w:tcPr>
            <w:tcW w:w="1692" w:type="dxa"/>
            <w:noWrap w:val="0"/>
            <w:vAlign w:val="center"/>
          </w:tcPr>
          <w:p w14:paraId="0B33F34F">
            <w:pPr>
              <w:widowControl/>
              <w:jc w:val="center"/>
              <w:rPr>
                <w:kern w:val="0"/>
              </w:rPr>
            </w:pPr>
          </w:p>
        </w:tc>
      </w:tr>
      <w:tr w14:paraId="032F1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2D3AD414">
            <w:pPr>
              <w:widowControl/>
              <w:jc w:val="center"/>
              <w:rPr>
                <w:kern w:val="0"/>
              </w:rPr>
            </w:pPr>
            <w:r>
              <w:rPr>
                <w:kern w:val="0"/>
              </w:rPr>
              <w:t>3</w:t>
            </w:r>
          </w:p>
        </w:tc>
        <w:tc>
          <w:tcPr>
            <w:tcW w:w="2975" w:type="dxa"/>
            <w:noWrap w:val="0"/>
            <w:vAlign w:val="center"/>
          </w:tcPr>
          <w:p w14:paraId="0219DE73">
            <w:pPr>
              <w:widowControl/>
              <w:jc w:val="center"/>
              <w:rPr>
                <w:kern w:val="0"/>
              </w:rPr>
            </w:pPr>
          </w:p>
        </w:tc>
        <w:tc>
          <w:tcPr>
            <w:tcW w:w="787" w:type="dxa"/>
            <w:noWrap w:val="0"/>
            <w:vAlign w:val="center"/>
          </w:tcPr>
          <w:p w14:paraId="7C439314">
            <w:pPr>
              <w:widowControl/>
              <w:jc w:val="center"/>
              <w:rPr>
                <w:kern w:val="0"/>
              </w:rPr>
            </w:pPr>
          </w:p>
        </w:tc>
        <w:tc>
          <w:tcPr>
            <w:tcW w:w="870" w:type="dxa"/>
            <w:noWrap w:val="0"/>
            <w:vAlign w:val="center"/>
          </w:tcPr>
          <w:p w14:paraId="45EC409D">
            <w:pPr>
              <w:widowControl/>
              <w:jc w:val="center"/>
              <w:rPr>
                <w:kern w:val="0"/>
              </w:rPr>
            </w:pPr>
          </w:p>
        </w:tc>
        <w:tc>
          <w:tcPr>
            <w:tcW w:w="1524" w:type="dxa"/>
            <w:noWrap w:val="0"/>
            <w:vAlign w:val="center"/>
          </w:tcPr>
          <w:p w14:paraId="732D9614">
            <w:pPr>
              <w:widowControl/>
              <w:jc w:val="center"/>
              <w:rPr>
                <w:kern w:val="0"/>
              </w:rPr>
            </w:pPr>
          </w:p>
        </w:tc>
        <w:tc>
          <w:tcPr>
            <w:tcW w:w="1692" w:type="dxa"/>
            <w:noWrap w:val="0"/>
            <w:vAlign w:val="center"/>
          </w:tcPr>
          <w:p w14:paraId="3E27EE1D">
            <w:pPr>
              <w:widowControl/>
              <w:jc w:val="center"/>
              <w:rPr>
                <w:kern w:val="0"/>
              </w:rPr>
            </w:pPr>
          </w:p>
        </w:tc>
      </w:tr>
      <w:tr w14:paraId="0E6C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6C2DE3AC">
            <w:pPr>
              <w:widowControl/>
              <w:jc w:val="center"/>
              <w:rPr>
                <w:kern w:val="0"/>
              </w:rPr>
            </w:pPr>
            <w:r>
              <w:rPr>
                <w:kern w:val="0"/>
              </w:rPr>
              <w:t>4</w:t>
            </w:r>
          </w:p>
        </w:tc>
        <w:tc>
          <w:tcPr>
            <w:tcW w:w="2975" w:type="dxa"/>
            <w:noWrap w:val="0"/>
            <w:vAlign w:val="center"/>
          </w:tcPr>
          <w:p w14:paraId="658755DF">
            <w:pPr>
              <w:widowControl/>
              <w:jc w:val="center"/>
              <w:rPr>
                <w:kern w:val="0"/>
              </w:rPr>
            </w:pPr>
          </w:p>
        </w:tc>
        <w:tc>
          <w:tcPr>
            <w:tcW w:w="787" w:type="dxa"/>
            <w:noWrap w:val="0"/>
            <w:vAlign w:val="center"/>
          </w:tcPr>
          <w:p w14:paraId="437B213F">
            <w:pPr>
              <w:widowControl/>
              <w:jc w:val="center"/>
              <w:rPr>
                <w:kern w:val="0"/>
              </w:rPr>
            </w:pPr>
          </w:p>
        </w:tc>
        <w:tc>
          <w:tcPr>
            <w:tcW w:w="870" w:type="dxa"/>
            <w:noWrap w:val="0"/>
            <w:vAlign w:val="center"/>
          </w:tcPr>
          <w:p w14:paraId="4B2F4B15">
            <w:pPr>
              <w:widowControl/>
              <w:jc w:val="center"/>
              <w:rPr>
                <w:kern w:val="0"/>
              </w:rPr>
            </w:pPr>
          </w:p>
        </w:tc>
        <w:tc>
          <w:tcPr>
            <w:tcW w:w="1524" w:type="dxa"/>
            <w:noWrap w:val="0"/>
            <w:vAlign w:val="center"/>
          </w:tcPr>
          <w:p w14:paraId="26F91743">
            <w:pPr>
              <w:widowControl/>
              <w:jc w:val="center"/>
              <w:rPr>
                <w:kern w:val="0"/>
              </w:rPr>
            </w:pPr>
          </w:p>
        </w:tc>
        <w:tc>
          <w:tcPr>
            <w:tcW w:w="1692" w:type="dxa"/>
            <w:noWrap w:val="0"/>
            <w:vAlign w:val="center"/>
          </w:tcPr>
          <w:p w14:paraId="64B02FDE">
            <w:pPr>
              <w:widowControl/>
              <w:jc w:val="center"/>
              <w:rPr>
                <w:kern w:val="0"/>
              </w:rPr>
            </w:pPr>
          </w:p>
        </w:tc>
      </w:tr>
      <w:tr w14:paraId="762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5EA8E19F">
            <w:pPr>
              <w:widowControl/>
              <w:jc w:val="center"/>
              <w:rPr>
                <w:kern w:val="0"/>
              </w:rPr>
            </w:pPr>
            <w:r>
              <w:rPr>
                <w:kern w:val="0"/>
              </w:rPr>
              <w:t>5</w:t>
            </w:r>
          </w:p>
        </w:tc>
        <w:tc>
          <w:tcPr>
            <w:tcW w:w="2975" w:type="dxa"/>
            <w:noWrap w:val="0"/>
            <w:vAlign w:val="center"/>
          </w:tcPr>
          <w:p w14:paraId="54366C9F">
            <w:pPr>
              <w:widowControl/>
              <w:jc w:val="center"/>
              <w:rPr>
                <w:kern w:val="0"/>
              </w:rPr>
            </w:pPr>
          </w:p>
        </w:tc>
        <w:tc>
          <w:tcPr>
            <w:tcW w:w="787" w:type="dxa"/>
            <w:noWrap w:val="0"/>
            <w:vAlign w:val="center"/>
          </w:tcPr>
          <w:p w14:paraId="6B4F3874">
            <w:pPr>
              <w:widowControl/>
              <w:jc w:val="center"/>
              <w:rPr>
                <w:kern w:val="0"/>
              </w:rPr>
            </w:pPr>
          </w:p>
        </w:tc>
        <w:tc>
          <w:tcPr>
            <w:tcW w:w="870" w:type="dxa"/>
            <w:noWrap w:val="0"/>
            <w:vAlign w:val="center"/>
          </w:tcPr>
          <w:p w14:paraId="71E82EDD">
            <w:pPr>
              <w:widowControl/>
              <w:jc w:val="center"/>
              <w:rPr>
                <w:kern w:val="0"/>
              </w:rPr>
            </w:pPr>
          </w:p>
        </w:tc>
        <w:tc>
          <w:tcPr>
            <w:tcW w:w="1524" w:type="dxa"/>
            <w:noWrap w:val="0"/>
            <w:vAlign w:val="center"/>
          </w:tcPr>
          <w:p w14:paraId="7A1A0187">
            <w:pPr>
              <w:widowControl/>
              <w:jc w:val="center"/>
              <w:rPr>
                <w:kern w:val="0"/>
              </w:rPr>
            </w:pPr>
          </w:p>
        </w:tc>
        <w:tc>
          <w:tcPr>
            <w:tcW w:w="1692" w:type="dxa"/>
            <w:noWrap w:val="0"/>
            <w:vAlign w:val="center"/>
          </w:tcPr>
          <w:p w14:paraId="13E3ADB4">
            <w:pPr>
              <w:widowControl/>
              <w:jc w:val="center"/>
              <w:rPr>
                <w:kern w:val="0"/>
              </w:rPr>
            </w:pPr>
          </w:p>
        </w:tc>
      </w:tr>
      <w:tr w14:paraId="091E7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8" w:type="dxa"/>
            <w:noWrap w:val="0"/>
            <w:vAlign w:val="center"/>
          </w:tcPr>
          <w:p w14:paraId="4A5C102C">
            <w:pPr>
              <w:widowControl/>
              <w:jc w:val="center"/>
              <w:rPr>
                <w:kern w:val="0"/>
              </w:rPr>
            </w:pPr>
            <w:r>
              <w:rPr>
                <w:kern w:val="0"/>
              </w:rPr>
              <w:t>6</w:t>
            </w:r>
          </w:p>
        </w:tc>
        <w:tc>
          <w:tcPr>
            <w:tcW w:w="2975" w:type="dxa"/>
            <w:noWrap w:val="0"/>
            <w:vAlign w:val="center"/>
          </w:tcPr>
          <w:p w14:paraId="1214A89F">
            <w:pPr>
              <w:widowControl/>
              <w:jc w:val="center"/>
              <w:rPr>
                <w:kern w:val="0"/>
              </w:rPr>
            </w:pPr>
          </w:p>
        </w:tc>
        <w:tc>
          <w:tcPr>
            <w:tcW w:w="787" w:type="dxa"/>
            <w:noWrap w:val="0"/>
            <w:vAlign w:val="center"/>
          </w:tcPr>
          <w:p w14:paraId="7F735D2C">
            <w:pPr>
              <w:widowControl/>
              <w:jc w:val="center"/>
              <w:rPr>
                <w:kern w:val="0"/>
              </w:rPr>
            </w:pPr>
          </w:p>
        </w:tc>
        <w:tc>
          <w:tcPr>
            <w:tcW w:w="870" w:type="dxa"/>
            <w:noWrap w:val="0"/>
            <w:vAlign w:val="center"/>
          </w:tcPr>
          <w:p w14:paraId="50F95B14">
            <w:pPr>
              <w:widowControl/>
              <w:jc w:val="center"/>
              <w:rPr>
                <w:kern w:val="0"/>
              </w:rPr>
            </w:pPr>
          </w:p>
        </w:tc>
        <w:tc>
          <w:tcPr>
            <w:tcW w:w="1524" w:type="dxa"/>
            <w:noWrap w:val="0"/>
            <w:vAlign w:val="center"/>
          </w:tcPr>
          <w:p w14:paraId="0FE8EBF7">
            <w:pPr>
              <w:widowControl/>
              <w:jc w:val="center"/>
              <w:rPr>
                <w:kern w:val="0"/>
              </w:rPr>
            </w:pPr>
          </w:p>
        </w:tc>
        <w:tc>
          <w:tcPr>
            <w:tcW w:w="1692" w:type="dxa"/>
            <w:noWrap w:val="0"/>
            <w:vAlign w:val="center"/>
          </w:tcPr>
          <w:p w14:paraId="519C60FB">
            <w:pPr>
              <w:widowControl/>
              <w:jc w:val="center"/>
              <w:rPr>
                <w:kern w:val="0"/>
              </w:rPr>
            </w:pPr>
          </w:p>
        </w:tc>
      </w:tr>
    </w:tbl>
    <w:p w14:paraId="0701390E">
      <w:pPr>
        <w:tabs>
          <w:tab w:val="left" w:pos="5670"/>
        </w:tabs>
        <w:autoSpaceDE w:val="0"/>
        <w:autoSpaceDN w:val="0"/>
        <w:adjustRightInd w:val="0"/>
        <w:snapToGrid w:val="0"/>
        <w:spacing w:line="520" w:lineRule="exact"/>
        <w:ind w:firstLine="420" w:firstLineChars="200"/>
        <w:jc w:val="left"/>
        <w:rPr>
          <w:rFonts w:ascii="宋体" w:hAnsi="宋体"/>
        </w:rPr>
      </w:pPr>
      <w:bookmarkStart w:id="13" w:name="_Toc6404"/>
      <w:bookmarkStart w:id="14" w:name="_Toc19329"/>
      <w:r>
        <w:rPr>
          <w:rFonts w:hint="eastAsia" w:ascii="宋体" w:hAnsi="宋体"/>
        </w:rPr>
        <w:t>建设部门工程师</w:t>
      </w:r>
      <w:r>
        <w:rPr>
          <w:rFonts w:ascii="宋体" w:hAnsi="宋体"/>
        </w:rPr>
        <w:t>或专业技术人员签字确认：</w:t>
      </w:r>
      <w:r>
        <w:rPr>
          <w:rFonts w:hint="eastAsia" w:ascii="宋体" w:hAnsi="宋体"/>
          <w:u w:val="single"/>
        </w:rPr>
        <w:t xml:space="preserve">                  </w:t>
      </w:r>
    </w:p>
    <w:p w14:paraId="51BA08D1">
      <w:pPr>
        <w:kinsoku w:val="0"/>
        <w:adjustRightInd w:val="0"/>
        <w:snapToGrid w:val="0"/>
        <w:spacing w:line="360" w:lineRule="auto"/>
        <w:rPr>
          <w:rFonts w:ascii="宋体" w:hAnsi="宋体"/>
        </w:rPr>
      </w:pPr>
    </w:p>
    <w:p w14:paraId="77C02DA8">
      <w:pPr>
        <w:kinsoku w:val="0"/>
        <w:adjustRightInd w:val="0"/>
        <w:snapToGrid w:val="0"/>
        <w:spacing w:line="360" w:lineRule="auto"/>
        <w:rPr>
          <w:b/>
        </w:rPr>
      </w:pPr>
      <w:r>
        <w:rPr>
          <w:rFonts w:hint="eastAsia"/>
          <w:b/>
        </w:rPr>
        <w:t>二、规格、型号</w:t>
      </w:r>
    </w:p>
    <w:p w14:paraId="3681A9B0">
      <w:pPr>
        <w:kinsoku w:val="0"/>
        <w:adjustRightInd w:val="0"/>
        <w:snapToGrid w:val="0"/>
        <w:spacing w:line="360" w:lineRule="auto"/>
        <w:ind w:firstLine="422" w:firstLineChars="200"/>
        <w:rPr>
          <w:b/>
        </w:rPr>
      </w:pPr>
      <w:r>
        <w:rPr>
          <w:rFonts w:hint="eastAsia"/>
          <w:b/>
        </w:rPr>
        <w:t>本合同</w:t>
      </w:r>
      <w:r>
        <w:rPr>
          <w:b/>
        </w:rPr>
        <w:t>上</w:t>
      </w:r>
      <w:r>
        <w:rPr>
          <w:rFonts w:ascii="宋体" w:hAnsi="宋体"/>
          <w:b/>
        </w:rPr>
        <w:t>述“采购内容清单”所列</w:t>
      </w:r>
      <w:r>
        <w:rPr>
          <w:b/>
        </w:rPr>
        <w:t>货物的</w:t>
      </w:r>
      <w:r>
        <w:rPr>
          <w:rFonts w:hint="eastAsia"/>
          <w:b/>
        </w:rPr>
        <w:t>生产及销售厂家、规格、型号、品牌、样式、价款等技术参数</w:t>
      </w:r>
      <w:r>
        <w:rPr>
          <w:b/>
        </w:rPr>
        <w:t>，以</w:t>
      </w:r>
      <w:r>
        <w:rPr>
          <w:rFonts w:hint="eastAsia"/>
          <w:b/>
        </w:rPr>
        <w:t>甲方招标文件、乙方响应文件</w:t>
      </w:r>
      <w:r>
        <w:rPr>
          <w:rFonts w:ascii="宋体" w:hAnsi="宋体"/>
          <w:b/>
        </w:rPr>
        <w:t>中“技术规格响应偏离表”中所响应的参数</w:t>
      </w:r>
      <w:r>
        <w:rPr>
          <w:rFonts w:hint="eastAsia" w:ascii="宋体" w:hAnsi="宋体"/>
          <w:b/>
        </w:rPr>
        <w:t>完全一致</w:t>
      </w:r>
      <w:r>
        <w:rPr>
          <w:rFonts w:ascii="宋体" w:hAnsi="宋体"/>
          <w:b/>
        </w:rPr>
        <w:t>，</w:t>
      </w:r>
      <w:r>
        <w:rPr>
          <w:rFonts w:hint="eastAsia" w:ascii="宋体" w:hAnsi="宋体"/>
          <w:b/>
        </w:rPr>
        <w:t>不得有任何形式偏离。招标文件、投标文件、中标通知书</w:t>
      </w:r>
      <w:r>
        <w:rPr>
          <w:rFonts w:ascii="宋体" w:hAnsi="宋体"/>
          <w:b/>
        </w:rPr>
        <w:t>为本</w:t>
      </w:r>
      <w:r>
        <w:rPr>
          <w:b/>
        </w:rPr>
        <w:t>合同附件。</w:t>
      </w:r>
    </w:p>
    <w:bookmarkEnd w:id="13"/>
    <w:bookmarkEnd w:id="14"/>
    <w:p w14:paraId="33ACC72A">
      <w:pPr>
        <w:kinsoku w:val="0"/>
        <w:adjustRightInd w:val="0"/>
        <w:snapToGrid w:val="0"/>
        <w:spacing w:line="360" w:lineRule="auto"/>
        <w:rPr>
          <w:b/>
          <w:bCs/>
        </w:rPr>
      </w:pPr>
      <w:r>
        <w:t>三</w:t>
      </w:r>
      <w:r>
        <w:rPr>
          <w:b/>
          <w:bCs/>
        </w:rPr>
        <w:t>、</w:t>
      </w:r>
      <w:r>
        <w:rPr>
          <w:rFonts w:hint="eastAsia"/>
          <w:b/>
          <w:bCs/>
        </w:rPr>
        <w:t>产品交付日期及地点</w:t>
      </w:r>
    </w:p>
    <w:p w14:paraId="13491497">
      <w:pPr>
        <w:widowControl/>
        <w:adjustRightInd w:val="0"/>
        <w:snapToGrid w:val="0"/>
        <w:spacing w:line="360" w:lineRule="auto"/>
        <w:ind w:firstLine="420" w:firstLineChars="200"/>
        <w:rPr>
          <w:rFonts w:hint="eastAsia" w:ascii="宋体" w:hAnsi="宋体" w:cs="宋体"/>
          <w:color w:val="000000"/>
        </w:rPr>
      </w:pPr>
      <w:r>
        <w:rPr>
          <w:rFonts w:hint="eastAsia" w:ascii="宋体" w:hAnsi="宋体" w:cs="宋体"/>
        </w:rPr>
        <w:t>3.1乙方负责按上述“采购内容清单”及本合同附件所确定的货物名称、品牌、规格型号、生产厂家、数量、价格等内容向甲方供货，并在合同签订后</w:t>
      </w:r>
      <w:r>
        <w:rPr>
          <w:rFonts w:hint="eastAsia" w:ascii="宋体" w:hAnsi="宋体" w:cs="宋体"/>
          <w:u w:val="single"/>
        </w:rPr>
        <w:t xml:space="preserve">     </w:t>
      </w:r>
      <w:r>
        <w:rPr>
          <w:rFonts w:hint="eastAsia" w:ascii="宋体" w:hAnsi="宋体" w:cs="宋体"/>
        </w:rPr>
        <w:t>个日历日内按甲方指定地点并完成安装、调试及试运行等全部工作内容，确保所有产品符合合同目的及甲方要求。试运行为期</w:t>
      </w:r>
      <w:r>
        <w:rPr>
          <w:rFonts w:hint="eastAsia" w:ascii="宋体" w:hAnsi="宋体" w:cs="宋体"/>
          <w:u w:val="single"/>
        </w:rPr>
        <w:t xml:space="preserve">     </w:t>
      </w:r>
      <w:r>
        <w:rPr>
          <w:rFonts w:hint="eastAsia" w:ascii="宋体" w:hAnsi="宋体" w:cs="宋体"/>
        </w:rPr>
        <w:t>天。</w:t>
      </w:r>
    </w:p>
    <w:p w14:paraId="1A835668">
      <w:pPr>
        <w:widowControl/>
        <w:adjustRightInd w:val="0"/>
        <w:snapToGrid w:val="0"/>
        <w:spacing w:line="360" w:lineRule="auto"/>
        <w:ind w:firstLine="420" w:firstLineChars="200"/>
        <w:rPr>
          <w:rFonts w:hint="eastAsia" w:ascii="宋体" w:hAnsi="宋体" w:cs="宋体"/>
        </w:rPr>
      </w:pPr>
      <w:r>
        <w:rPr>
          <w:rFonts w:hint="eastAsia" w:ascii="宋体" w:hAnsi="宋体" w:cs="宋体"/>
        </w:rPr>
        <w:t>3.2乙方不能按工期完成供货、安装、及试运行任务时，视为违约，甲方有权按合同总额收取每天0.1%的违约金。</w:t>
      </w:r>
    </w:p>
    <w:p w14:paraId="0B1FF4FA">
      <w:pPr>
        <w:widowControl/>
        <w:adjustRightInd w:val="0"/>
        <w:snapToGrid w:val="0"/>
        <w:spacing w:line="360" w:lineRule="auto"/>
        <w:ind w:firstLine="420" w:firstLineChars="200"/>
        <w:rPr>
          <w:rFonts w:hint="eastAsia" w:ascii="宋体" w:hAnsi="宋体" w:cs="宋体"/>
          <w:color w:val="000000"/>
          <w:kern w:val="0"/>
        </w:rPr>
      </w:pPr>
      <w:r>
        <w:rPr>
          <w:rFonts w:hint="eastAsia" w:ascii="宋体" w:hAnsi="宋体" w:cs="宋体"/>
          <w:bCs/>
        </w:rPr>
        <w:t>3.3</w:t>
      </w:r>
      <w:r>
        <w:rPr>
          <w:rFonts w:hint="eastAsia" w:ascii="宋体" w:hAnsi="宋体" w:cs="宋体"/>
        </w:rPr>
        <w:t>供货地点</w:t>
      </w:r>
      <w:r>
        <w:rPr>
          <w:rFonts w:hint="eastAsia" w:ascii="宋体" w:hAnsi="宋体" w:cs="宋体"/>
          <w:b/>
          <w:bCs/>
        </w:rPr>
        <w:t>：</w:t>
      </w:r>
      <w:r>
        <w:rPr>
          <w:rFonts w:hint="eastAsia" w:ascii="宋体" w:hAnsi="宋体" w:cs="宋体"/>
          <w:color w:val="000000"/>
          <w:kern w:val="0"/>
        </w:rPr>
        <w:t>咸阳职业技术学院院内指定地点。</w:t>
      </w:r>
    </w:p>
    <w:p w14:paraId="3ACE8192">
      <w:pPr>
        <w:adjustRightInd w:val="0"/>
        <w:snapToGrid w:val="0"/>
        <w:spacing w:line="360" w:lineRule="auto"/>
        <w:ind w:firstLine="422" w:firstLineChars="200"/>
        <w:rPr>
          <w:b/>
          <w:bCs/>
        </w:rPr>
      </w:pPr>
      <w:r>
        <w:rPr>
          <w:rFonts w:hint="eastAsia"/>
          <w:b/>
          <w:color w:val="000000"/>
          <w:kern w:val="0"/>
        </w:rPr>
        <w:t>四、</w:t>
      </w:r>
      <w:r>
        <w:rPr>
          <w:rFonts w:hint="eastAsia"/>
          <w:b/>
          <w:bCs/>
        </w:rPr>
        <w:t>质保期</w:t>
      </w:r>
    </w:p>
    <w:p w14:paraId="348D89D6">
      <w:pPr>
        <w:adjustRightInd w:val="0"/>
        <w:snapToGrid w:val="0"/>
        <w:spacing w:line="360" w:lineRule="auto"/>
        <w:ind w:firstLine="420" w:firstLineChars="200"/>
        <w:rPr>
          <w:bCs/>
        </w:rPr>
      </w:pPr>
      <w:r>
        <w:rPr>
          <w:rFonts w:hint="eastAsia"/>
          <w:bCs/>
        </w:rPr>
        <w:t>4.1 质保期</w:t>
      </w:r>
      <w:r>
        <w:rPr>
          <w:rFonts w:hint="eastAsia"/>
          <w:bCs/>
          <w:u w:val="single"/>
        </w:rPr>
        <w:t xml:space="preserve">  </w:t>
      </w:r>
      <w:r>
        <w:rPr>
          <w:rFonts w:hint="eastAsia"/>
          <w:bCs/>
          <w:u w:val="single"/>
          <w:lang w:val="en-US" w:eastAsia="zh-CN"/>
        </w:rPr>
        <w:t xml:space="preserve">  </w:t>
      </w:r>
      <w:r>
        <w:rPr>
          <w:rFonts w:hint="eastAsia"/>
          <w:bCs/>
        </w:rPr>
        <w:t>个月。</w:t>
      </w:r>
    </w:p>
    <w:p w14:paraId="23AF9DA2">
      <w:pPr>
        <w:adjustRightInd w:val="0"/>
        <w:snapToGrid w:val="0"/>
        <w:spacing w:line="360" w:lineRule="auto"/>
        <w:ind w:firstLine="420" w:firstLineChars="200"/>
        <w:rPr>
          <w:rFonts w:hint="eastAsia" w:ascii="宋体" w:hAnsi="宋体" w:cs="宋体"/>
          <w:bCs/>
        </w:rPr>
      </w:pPr>
      <w:r>
        <w:rPr>
          <w:rFonts w:hint="eastAsia" w:ascii="宋体" w:hAnsi="宋体" w:cs="宋体"/>
          <w:bCs/>
        </w:rPr>
        <w:t>4.2 本合同所有商品质保期从全部设施安装完成甲方书面验收合格之日起计算质保期。</w:t>
      </w:r>
    </w:p>
    <w:p w14:paraId="358C9DF7">
      <w:pPr>
        <w:adjustRightInd w:val="0"/>
        <w:snapToGrid w:val="0"/>
        <w:spacing w:line="360" w:lineRule="auto"/>
        <w:ind w:firstLine="420" w:firstLineChars="200"/>
        <w:rPr>
          <w:rFonts w:hint="eastAsia" w:ascii="宋体" w:hAnsi="宋体" w:cs="宋体"/>
          <w:bCs/>
        </w:rPr>
      </w:pPr>
      <w:r>
        <w:rPr>
          <w:rFonts w:hint="eastAsia" w:ascii="宋体" w:hAnsi="宋体" w:cs="宋体"/>
          <w:bCs/>
        </w:rPr>
        <w:t>4.3</w:t>
      </w:r>
      <w:r>
        <w:rPr>
          <w:rFonts w:hint="eastAsia" w:ascii="宋体" w:hAnsi="宋体" w:cs="宋体"/>
          <w:bCs/>
          <w:u w:val="single"/>
        </w:rPr>
        <w:t xml:space="preserve">              </w:t>
      </w:r>
      <w:r>
        <w:rPr>
          <w:rFonts w:hint="eastAsia" w:ascii="宋体" w:hAnsi="宋体" w:cs="宋体"/>
          <w:bCs/>
        </w:rPr>
        <w:t>设施设备自安装、调试完毕甲方初步验收并满足设备试运行</w:t>
      </w:r>
      <w:r>
        <w:rPr>
          <w:rFonts w:hint="eastAsia" w:ascii="宋体" w:hAnsi="宋体" w:cs="宋体"/>
          <w:bCs/>
          <w:u w:val="single"/>
        </w:rPr>
        <w:t xml:space="preserve">       </w:t>
      </w:r>
      <w:r>
        <w:rPr>
          <w:rFonts w:hint="eastAsia" w:ascii="宋体" w:hAnsi="宋体" w:cs="宋体"/>
          <w:bCs/>
        </w:rPr>
        <w:t>内无任何硬件及软件问题并经甲方书面确认后起算质保期（质保期：硬件设备</w:t>
      </w:r>
      <w:r>
        <w:rPr>
          <w:rFonts w:hint="eastAsia" w:ascii="宋体" w:hAnsi="宋体" w:cs="宋体"/>
          <w:bCs/>
          <w:u w:val="single"/>
        </w:rPr>
        <w:t xml:space="preserve">  </w:t>
      </w:r>
      <w:r>
        <w:rPr>
          <w:rFonts w:hint="eastAsia" w:ascii="宋体" w:hAnsi="宋体" w:cs="宋体"/>
          <w:bCs/>
          <w:u w:val="single"/>
          <w:lang w:val="en-US" w:eastAsia="zh-CN"/>
        </w:rPr>
        <w:t>3</w:t>
      </w:r>
      <w:r>
        <w:rPr>
          <w:rFonts w:hint="eastAsia" w:ascii="宋体" w:hAnsi="宋体" w:cs="宋体"/>
          <w:bCs/>
          <w:u w:val="single"/>
        </w:rPr>
        <w:t xml:space="preserve">   </w:t>
      </w:r>
      <w:r>
        <w:rPr>
          <w:rFonts w:hint="eastAsia" w:ascii="宋体" w:hAnsi="宋体" w:cs="宋体"/>
          <w:bCs/>
        </w:rPr>
        <w:t>年，软件终身免费升级维护。）。</w:t>
      </w:r>
    </w:p>
    <w:p w14:paraId="7EB2710D">
      <w:pPr>
        <w:adjustRightInd w:val="0"/>
        <w:snapToGrid w:val="0"/>
        <w:spacing w:line="360" w:lineRule="auto"/>
        <w:ind w:firstLine="420" w:firstLineChars="200"/>
        <w:rPr>
          <w:rFonts w:hint="eastAsia" w:ascii="宋体" w:hAnsi="宋体" w:cs="宋体"/>
        </w:rPr>
      </w:pPr>
      <w:r>
        <w:rPr>
          <w:rFonts w:hint="eastAsia" w:ascii="宋体" w:hAnsi="宋体" w:cs="宋体"/>
          <w:bCs/>
        </w:rPr>
        <w:t>4.4质保期内，</w:t>
      </w:r>
      <w:r>
        <w:rPr>
          <w:rFonts w:hint="eastAsia" w:ascii="宋体" w:hAnsi="宋体" w:cs="宋体"/>
        </w:rPr>
        <w:t>乙方必须负责维修、保养及更换、软件升级等全部售后及质保工作，若乙方交付产品存在任何质量问题，乙方应在收到甲方通知（电话、短信、微信、邮件、口头等任何方式）要求履行维修义务的，乙方应当在4小时内予以相应，12小时内维修完毕，重大问题，经甲方同意，24小时完成维修工作。质保期内，乙方拒绝维修或迟延维修的，甲方有权委托其他第三方维修、更换，因此产生的费用由乙方承担，且可从甲方应付乙方款项中直接扣除。</w:t>
      </w:r>
    </w:p>
    <w:p w14:paraId="1CF6C0F8">
      <w:pPr>
        <w:adjustRightInd w:val="0"/>
        <w:snapToGrid w:val="0"/>
        <w:spacing w:line="360" w:lineRule="auto"/>
        <w:ind w:firstLine="420" w:firstLineChars="200"/>
        <w:rPr>
          <w:rFonts w:hint="eastAsia" w:ascii="宋体" w:hAnsi="宋体" w:cs="宋体"/>
          <w:bCs/>
        </w:rPr>
      </w:pPr>
      <w:r>
        <w:rPr>
          <w:rFonts w:hint="eastAsia" w:ascii="宋体" w:hAnsi="宋体" w:cs="宋体"/>
          <w:bCs/>
        </w:rPr>
        <w:t>4.5 乙方所供应的设施设备及任何软件，经两次维修仍无法达到正常使用状态的，乙方应当无条件更换，所产生的费用由乙方全部承担。</w:t>
      </w:r>
    </w:p>
    <w:p w14:paraId="6D9C3692">
      <w:pPr>
        <w:adjustRightInd w:val="0"/>
        <w:snapToGrid w:val="0"/>
        <w:spacing w:line="360" w:lineRule="auto"/>
        <w:ind w:firstLine="422" w:firstLineChars="200"/>
        <w:rPr>
          <w:rFonts w:hint="eastAsia" w:ascii="宋体" w:hAnsi="宋体" w:cs="宋体"/>
          <w:b/>
          <w:bCs/>
        </w:rPr>
      </w:pPr>
      <w:r>
        <w:rPr>
          <w:rFonts w:hint="eastAsia" w:ascii="宋体" w:hAnsi="宋体" w:cs="宋体"/>
          <w:b/>
        </w:rPr>
        <w:t>五</w:t>
      </w:r>
      <w:r>
        <w:rPr>
          <w:rFonts w:hint="eastAsia" w:ascii="宋体" w:hAnsi="宋体" w:cs="宋体"/>
          <w:b/>
          <w:bCs/>
        </w:rPr>
        <w:t>、合同价款及付款方式</w:t>
      </w:r>
    </w:p>
    <w:p w14:paraId="101BA0D0">
      <w:pPr>
        <w:adjustRightInd w:val="0"/>
        <w:snapToGrid w:val="0"/>
        <w:spacing w:line="360" w:lineRule="auto"/>
        <w:ind w:firstLine="420" w:firstLineChars="200"/>
        <w:rPr>
          <w:rFonts w:hint="eastAsia" w:ascii="宋体" w:hAnsi="宋体" w:cs="宋体"/>
          <w:color w:val="000000"/>
        </w:rPr>
      </w:pPr>
      <w:r>
        <w:rPr>
          <w:rFonts w:hint="eastAsia" w:ascii="宋体" w:hAnsi="宋体" w:cs="宋体"/>
        </w:rPr>
        <w:t>5.1合同总价为：人民币大写：</w:t>
      </w:r>
      <w:r>
        <w:rPr>
          <w:rFonts w:hint="eastAsia" w:ascii="宋体" w:hAnsi="宋体" w:cs="宋体"/>
          <w:u w:val="single"/>
        </w:rPr>
        <w:t xml:space="preserve">              </w:t>
      </w:r>
      <w:r>
        <w:rPr>
          <w:rFonts w:hint="eastAsia" w:ascii="宋体" w:hAnsi="宋体" w:cs="宋体"/>
        </w:rPr>
        <w:t>；小写：¥</w:t>
      </w:r>
      <w:r>
        <w:rPr>
          <w:rFonts w:hint="eastAsia" w:ascii="宋体" w:hAnsi="宋体" w:cs="宋体"/>
          <w:u w:val="single"/>
        </w:rPr>
        <w:t xml:space="preserve">              </w:t>
      </w:r>
      <w:r>
        <w:rPr>
          <w:rFonts w:hint="eastAsia" w:ascii="宋体" w:hAnsi="宋体" w:cs="宋体"/>
        </w:rPr>
        <w:t>元；价款包括该项目过程中的所有费用（包括产品、设备、软件、人工、管理、办公、交通、运输费、邮寄费及会务、物耗、利润、税费、风险及其它的有关费用等）。</w:t>
      </w:r>
    </w:p>
    <w:p w14:paraId="0900824C">
      <w:pPr>
        <w:adjustRightInd w:val="0"/>
        <w:snapToGrid w:val="0"/>
        <w:spacing w:line="360" w:lineRule="auto"/>
        <w:ind w:firstLine="420" w:firstLineChars="200"/>
        <w:rPr>
          <w:rFonts w:hint="eastAsia" w:ascii="宋体" w:hAnsi="宋体" w:cs="宋体"/>
        </w:rPr>
      </w:pPr>
      <w:r>
        <w:rPr>
          <w:rFonts w:hint="eastAsia" w:ascii="宋体" w:hAnsi="宋体" w:cs="宋体"/>
        </w:rPr>
        <w:t>5.2合同总价一次包死，总价不因任何市场价格波动及国家政策性调价、原材料价格、人工费、疫情等任何等因素影响发生变化，最终决算以咸阳市财政投资评审中心评审结果为准。</w:t>
      </w:r>
    </w:p>
    <w:p w14:paraId="61EF3640">
      <w:pPr>
        <w:adjustRightInd w:val="0"/>
        <w:snapToGrid w:val="0"/>
        <w:spacing w:line="360" w:lineRule="auto"/>
        <w:ind w:firstLine="420" w:firstLineChars="200"/>
        <w:rPr>
          <w:rFonts w:hint="eastAsia" w:ascii="宋体" w:hAnsi="宋体" w:cs="宋体"/>
        </w:rPr>
      </w:pPr>
      <w:r>
        <w:rPr>
          <w:rFonts w:hint="eastAsia" w:ascii="宋体" w:hAnsi="宋体" w:cs="宋体"/>
        </w:rPr>
        <w:t>5.3项目完成设备的安装与系统调试，并经试运行完成后，乙方向甲方申请验收，甲方经验收合格后向乙方出具书面验收报告，乙方持验收报告10个工作日内向甲方提出付款申请；</w:t>
      </w:r>
    </w:p>
    <w:p w14:paraId="1AF2EF67">
      <w:pPr>
        <w:adjustRightInd w:val="0"/>
        <w:snapToGrid w:val="0"/>
        <w:spacing w:line="360" w:lineRule="auto"/>
        <w:ind w:firstLine="420" w:firstLineChars="200"/>
        <w:rPr>
          <w:rFonts w:hint="eastAsia" w:ascii="宋体" w:hAnsi="宋体" w:cs="宋体"/>
        </w:rPr>
      </w:pPr>
      <w:r>
        <w:rPr>
          <w:rFonts w:hint="eastAsia" w:ascii="宋体" w:hAnsi="宋体" w:cs="宋体"/>
        </w:rPr>
        <w:t>甲方付款前，乙方应当向甲方开具符合税务要求的等额增值税普通发票，乙方迟延提供发票的，甲方付款期限相应顺延，且不承担任何责任。</w:t>
      </w:r>
    </w:p>
    <w:p w14:paraId="608CDA53">
      <w:pPr>
        <w:adjustRightInd w:val="0"/>
        <w:snapToGrid w:val="0"/>
        <w:spacing w:line="360" w:lineRule="auto"/>
        <w:ind w:firstLine="420" w:firstLineChars="200"/>
        <w:rPr>
          <w:rFonts w:hint="eastAsia" w:ascii="宋体" w:hAnsi="宋体" w:cs="宋体"/>
          <w:highlight w:val="none"/>
        </w:rPr>
      </w:pPr>
      <w:r>
        <w:rPr>
          <w:rFonts w:hint="eastAsia" w:ascii="宋体" w:hAnsi="宋体" w:cs="宋体"/>
        </w:rPr>
        <w:t>5.4结</w:t>
      </w:r>
      <w:r>
        <w:rPr>
          <w:rFonts w:hint="eastAsia" w:ascii="宋体" w:hAnsi="宋体" w:cs="宋体"/>
          <w:highlight w:val="none"/>
        </w:rPr>
        <w:t xml:space="preserve">算方式 </w:t>
      </w:r>
    </w:p>
    <w:p w14:paraId="72EB90C6">
      <w:pPr>
        <w:adjustRightInd w:val="0"/>
        <w:snapToGrid w:val="0"/>
        <w:spacing w:line="360" w:lineRule="auto"/>
        <w:ind w:firstLine="420" w:firstLineChars="200"/>
        <w:rPr>
          <w:rFonts w:hint="eastAsia" w:ascii="宋体" w:hAnsi="宋体" w:cs="宋体"/>
          <w:highlight w:val="none"/>
        </w:rPr>
      </w:pPr>
      <w:r>
        <w:rPr>
          <w:rFonts w:hint="eastAsia" w:ascii="宋体" w:hAnsi="宋体" w:cs="宋体"/>
          <w:highlight w:val="none"/>
        </w:rPr>
        <w:t>5.4.1 （1）合同签订后</w:t>
      </w:r>
      <w:r>
        <w:rPr>
          <w:rFonts w:hint="eastAsia" w:ascii="宋体" w:hAnsi="宋体" w:cs="宋体"/>
          <w:highlight w:val="none"/>
          <w:lang w:eastAsia="zh-CN"/>
        </w:rPr>
        <w:t>，</w:t>
      </w:r>
      <w:r>
        <w:rPr>
          <w:rFonts w:hint="eastAsia" w:ascii="宋体" w:hAnsi="宋体" w:cs="宋体"/>
          <w:highlight w:val="none"/>
        </w:rPr>
        <w:t>设备安装调试完成经验收合格后，无质量问题，支付合同总金额</w:t>
      </w:r>
      <w:r>
        <w:rPr>
          <w:rFonts w:hint="eastAsia" w:ascii="宋体" w:hAnsi="宋体" w:cs="宋体"/>
          <w:highlight w:val="none"/>
          <w:u w:val="single"/>
          <w:lang w:val="en-US" w:eastAsia="zh-CN"/>
        </w:rPr>
        <w:t xml:space="preserve">       </w:t>
      </w:r>
      <w:r>
        <w:rPr>
          <w:rFonts w:hint="eastAsia" w:ascii="宋体" w:hAnsi="宋体" w:cs="宋体"/>
          <w:highlight w:val="none"/>
          <w:u w:val="none"/>
          <w:lang w:val="en-US" w:eastAsia="zh-CN"/>
        </w:rPr>
        <w:t>%</w:t>
      </w:r>
      <w:r>
        <w:rPr>
          <w:rFonts w:hint="eastAsia" w:ascii="宋体" w:hAnsi="宋体" w:cs="宋体"/>
          <w:highlight w:val="none"/>
        </w:rPr>
        <w:t>；</w:t>
      </w:r>
    </w:p>
    <w:p w14:paraId="14E7DFB0">
      <w:pPr>
        <w:adjustRightInd w:val="0"/>
        <w:snapToGrid w:val="0"/>
        <w:spacing w:line="360" w:lineRule="auto"/>
        <w:ind w:firstLine="420" w:firstLineChars="200"/>
        <w:rPr>
          <w:rFonts w:hint="eastAsia" w:ascii="宋体" w:hAnsi="宋体" w:cs="宋体"/>
        </w:rPr>
      </w:pPr>
      <w:r>
        <w:rPr>
          <w:rFonts w:hint="eastAsia" w:ascii="宋体" w:hAnsi="宋体" w:cs="宋体"/>
        </w:rPr>
        <w:t>（</w:t>
      </w:r>
      <w:r>
        <w:rPr>
          <w:rFonts w:hint="eastAsia" w:ascii="宋体" w:hAnsi="宋体" w:cs="宋体"/>
          <w:lang w:val="en-US" w:eastAsia="zh-CN"/>
        </w:rPr>
        <w:t>2</w:t>
      </w:r>
      <w:r>
        <w:rPr>
          <w:rFonts w:hint="eastAsia" w:ascii="宋体" w:hAnsi="宋体" w:cs="宋体"/>
        </w:rPr>
        <w:t>）付款方式为银行转账。</w:t>
      </w:r>
    </w:p>
    <w:p w14:paraId="791E772A">
      <w:pPr>
        <w:adjustRightInd w:val="0"/>
        <w:snapToGrid w:val="0"/>
        <w:spacing w:line="360" w:lineRule="auto"/>
        <w:ind w:firstLine="420" w:firstLineChars="200"/>
        <w:rPr>
          <w:rFonts w:hint="eastAsia" w:ascii="宋体" w:hAnsi="宋体" w:cs="宋体"/>
        </w:rPr>
      </w:pPr>
      <w:r>
        <w:rPr>
          <w:rFonts w:hint="eastAsia" w:ascii="宋体" w:hAnsi="宋体" w:cs="宋体"/>
        </w:rPr>
        <w:t>5.4.2 凡因乙方投标漏项、误报等导致的费用差异均由乙方自行承担，且必须按合同约定及甲方合同目的继续履行此部分合同内容，结算时不予调整。</w:t>
      </w:r>
    </w:p>
    <w:p w14:paraId="2EACE180">
      <w:pPr>
        <w:adjustRightInd w:val="0"/>
        <w:snapToGrid w:val="0"/>
        <w:spacing w:line="360" w:lineRule="auto"/>
        <w:ind w:firstLine="420" w:firstLineChars="200"/>
        <w:rPr>
          <w:rFonts w:hint="eastAsia" w:ascii="宋体" w:hAnsi="宋体" w:cs="宋体"/>
        </w:rPr>
      </w:pPr>
      <w:r>
        <w:rPr>
          <w:rFonts w:hint="eastAsia" w:ascii="宋体" w:hAnsi="宋体" w:cs="宋体"/>
        </w:rPr>
        <w:t>5.4.5付款方式：银行转账，乙方收款账户具体信息为：</w:t>
      </w:r>
    </w:p>
    <w:p w14:paraId="5793BC00">
      <w:pPr>
        <w:adjustRightInd w:val="0"/>
        <w:snapToGrid w:val="0"/>
        <w:spacing w:line="360" w:lineRule="auto"/>
        <w:ind w:firstLine="420" w:firstLineChars="200"/>
        <w:rPr>
          <w:rFonts w:hint="eastAsia" w:ascii="宋体" w:hAnsi="宋体" w:cs="宋体"/>
        </w:rPr>
      </w:pPr>
      <w:r>
        <w:rPr>
          <w:rFonts w:hint="eastAsia" w:ascii="宋体" w:hAnsi="宋体" w:cs="宋体"/>
        </w:rPr>
        <w:t>收款人：</w:t>
      </w:r>
    </w:p>
    <w:p w14:paraId="37FEA1DD">
      <w:pPr>
        <w:adjustRightInd w:val="0"/>
        <w:snapToGrid w:val="0"/>
        <w:spacing w:line="360" w:lineRule="auto"/>
        <w:ind w:firstLine="420" w:firstLineChars="200"/>
        <w:rPr>
          <w:rFonts w:hint="eastAsia" w:ascii="宋体" w:hAnsi="宋体" w:cs="宋体"/>
        </w:rPr>
      </w:pPr>
      <w:r>
        <w:rPr>
          <w:rFonts w:hint="eastAsia" w:ascii="宋体" w:hAnsi="宋体" w:cs="宋体"/>
        </w:rPr>
        <w:t>开户行：</w:t>
      </w:r>
    </w:p>
    <w:p w14:paraId="60D3399D">
      <w:pPr>
        <w:adjustRightInd w:val="0"/>
        <w:snapToGrid w:val="0"/>
        <w:spacing w:line="360" w:lineRule="auto"/>
        <w:ind w:firstLine="420" w:firstLineChars="200"/>
        <w:rPr>
          <w:rFonts w:hint="eastAsia" w:ascii="宋体" w:hAnsi="宋体" w:cs="宋体"/>
        </w:rPr>
      </w:pPr>
      <w:r>
        <w:rPr>
          <w:rFonts w:hint="eastAsia" w:ascii="宋体" w:hAnsi="宋体" w:cs="宋体"/>
        </w:rPr>
        <w:t>账号：</w:t>
      </w:r>
    </w:p>
    <w:p w14:paraId="2730974D">
      <w:pPr>
        <w:adjustRightInd w:val="0"/>
        <w:snapToGrid w:val="0"/>
        <w:spacing w:line="360" w:lineRule="auto"/>
        <w:ind w:firstLine="420" w:firstLineChars="200"/>
        <w:rPr>
          <w:rFonts w:hint="eastAsia" w:ascii="宋体" w:hAnsi="宋体" w:cs="宋体"/>
        </w:rPr>
      </w:pPr>
      <w:r>
        <w:rPr>
          <w:rFonts w:hint="eastAsia" w:ascii="宋体" w:hAnsi="宋体" w:cs="宋体"/>
        </w:rPr>
        <w:t>乙方应当保证向甲方提供账号信息准确无误，因乙方提供账号错误或其他原因导致收款不能的，因此产生的责任全部由乙方承担，与甲方无关。</w:t>
      </w:r>
    </w:p>
    <w:p w14:paraId="337FD0FB">
      <w:pPr>
        <w:adjustRightInd w:val="0"/>
        <w:snapToGrid w:val="0"/>
        <w:spacing w:line="360" w:lineRule="auto"/>
        <w:ind w:firstLine="422" w:firstLineChars="200"/>
        <w:rPr>
          <w:rFonts w:hint="eastAsia" w:ascii="宋体" w:hAnsi="宋体" w:cs="宋体"/>
          <w:b/>
        </w:rPr>
      </w:pPr>
      <w:r>
        <w:rPr>
          <w:rFonts w:hint="eastAsia" w:ascii="宋体" w:hAnsi="宋体" w:cs="宋体"/>
          <w:b/>
        </w:rPr>
        <w:t>六、服务要求</w:t>
      </w:r>
    </w:p>
    <w:p w14:paraId="49273DF2">
      <w:pPr>
        <w:adjustRightInd w:val="0"/>
        <w:snapToGrid w:val="0"/>
        <w:spacing w:line="360" w:lineRule="auto"/>
        <w:ind w:firstLine="420" w:firstLineChars="200"/>
        <w:rPr>
          <w:rFonts w:hint="eastAsia" w:ascii="宋体" w:hAnsi="宋体" w:cs="宋体"/>
        </w:rPr>
      </w:pPr>
      <w:r>
        <w:rPr>
          <w:rFonts w:hint="eastAsia" w:ascii="宋体" w:hAnsi="宋体" w:cs="宋体"/>
        </w:rPr>
        <w:t>6.1乙方应按该项目投标文件的服务承诺向甲方提供售后服务。</w:t>
      </w:r>
    </w:p>
    <w:p w14:paraId="7C6C69C6">
      <w:pPr>
        <w:adjustRightInd w:val="0"/>
        <w:snapToGrid w:val="0"/>
        <w:spacing w:line="360" w:lineRule="auto"/>
        <w:ind w:firstLine="420" w:firstLineChars="200"/>
        <w:rPr>
          <w:rFonts w:hint="eastAsia" w:ascii="宋体" w:hAnsi="宋体" w:cs="宋体"/>
        </w:rPr>
      </w:pPr>
      <w:r>
        <w:rPr>
          <w:rFonts w:hint="eastAsia" w:ascii="宋体" w:hAnsi="宋体" w:cs="宋体"/>
        </w:rPr>
        <w:t>6.2乙方在接到甲方电话、短信、微信、邮件及书面等任何方式通知后在4小时响应，并在</w:t>
      </w:r>
      <w:r>
        <w:rPr>
          <w:rFonts w:hint="eastAsia" w:ascii="宋体" w:hAnsi="宋体" w:cs="宋体"/>
          <w:u w:val="single"/>
        </w:rPr>
        <w:t xml:space="preserve"> 12 </w:t>
      </w:r>
      <w:r>
        <w:rPr>
          <w:rFonts w:hint="eastAsia" w:ascii="宋体" w:hAnsi="宋体" w:cs="宋体"/>
        </w:rPr>
        <w:t>小时内解决相关的技术服务及资料提供。</w:t>
      </w:r>
    </w:p>
    <w:p w14:paraId="0F7BBB36">
      <w:pPr>
        <w:adjustRightInd w:val="0"/>
        <w:snapToGrid w:val="0"/>
        <w:spacing w:line="360" w:lineRule="auto"/>
        <w:ind w:firstLine="420" w:firstLineChars="200"/>
        <w:rPr>
          <w:rFonts w:hint="eastAsia" w:ascii="宋体" w:hAnsi="宋体" w:cs="宋体"/>
        </w:rPr>
      </w:pPr>
      <w:r>
        <w:rPr>
          <w:rFonts w:hint="eastAsia" w:ascii="宋体" w:hAnsi="宋体" w:cs="宋体"/>
        </w:rPr>
        <w:t>6.3如果乙方在收到通知后</w:t>
      </w:r>
      <w:r>
        <w:rPr>
          <w:rFonts w:hint="eastAsia" w:ascii="宋体" w:hAnsi="宋体" w:cs="宋体"/>
          <w:u w:val="single"/>
        </w:rPr>
        <w:t xml:space="preserve"> 2 </w:t>
      </w:r>
      <w:r>
        <w:rPr>
          <w:rFonts w:hint="eastAsia" w:ascii="宋体" w:hAnsi="宋体" w:cs="宋体"/>
        </w:rPr>
        <w:t>天内没有提供技术服务及相关的资料，甲方可采取必要的补救措施，但其风险和费用将由乙方承担，甲方根据合同规定对乙方行使的其它权力不受影响，由此产生的费用由乙方承担，甲方可从应付乙方款项中扣除。</w:t>
      </w:r>
    </w:p>
    <w:p w14:paraId="6980B1E4">
      <w:pPr>
        <w:adjustRightInd w:val="0"/>
        <w:snapToGrid w:val="0"/>
        <w:spacing w:line="360" w:lineRule="auto"/>
        <w:ind w:firstLine="420" w:firstLineChars="200"/>
        <w:rPr>
          <w:rFonts w:hint="eastAsia" w:ascii="宋体" w:hAnsi="宋体" w:cs="宋体"/>
        </w:rPr>
      </w:pPr>
      <w:r>
        <w:rPr>
          <w:rFonts w:hint="eastAsia" w:ascii="宋体" w:hAnsi="宋体" w:cs="宋体"/>
        </w:rPr>
        <w:t>6.4伴随服务的费用已含在合同价中，不单独计费。</w:t>
      </w:r>
    </w:p>
    <w:p w14:paraId="257303FA">
      <w:pPr>
        <w:adjustRightInd w:val="0"/>
        <w:snapToGrid w:val="0"/>
        <w:spacing w:line="360" w:lineRule="auto"/>
        <w:ind w:firstLine="420" w:firstLineChars="200"/>
        <w:rPr>
          <w:rFonts w:hint="eastAsia" w:ascii="宋体" w:hAnsi="宋体" w:cs="宋体"/>
        </w:rPr>
      </w:pPr>
      <w:r>
        <w:rPr>
          <w:rFonts w:hint="eastAsia" w:ascii="宋体" w:hAnsi="宋体" w:cs="宋体"/>
        </w:rPr>
        <w:t>6.5按约定时间履行交付全部产品的义务且交付产品必须经甲方验收合格。</w:t>
      </w:r>
    </w:p>
    <w:p w14:paraId="282B3380">
      <w:pPr>
        <w:adjustRightInd w:val="0"/>
        <w:snapToGrid w:val="0"/>
        <w:spacing w:line="360" w:lineRule="auto"/>
        <w:ind w:firstLine="420" w:firstLineChars="200"/>
        <w:rPr>
          <w:rFonts w:hint="eastAsia" w:ascii="宋体" w:hAnsi="宋体" w:cs="宋体"/>
        </w:rPr>
      </w:pPr>
      <w:r>
        <w:rPr>
          <w:rFonts w:hint="eastAsia" w:ascii="宋体" w:hAnsi="宋体" w:cs="宋体"/>
        </w:rPr>
        <w:t>6.6定期为软件产品进行升级。</w:t>
      </w:r>
    </w:p>
    <w:p w14:paraId="6F23BED9">
      <w:pPr>
        <w:adjustRightInd w:val="0"/>
        <w:snapToGrid w:val="0"/>
        <w:spacing w:line="360" w:lineRule="auto"/>
        <w:ind w:firstLine="420" w:firstLineChars="200"/>
        <w:rPr>
          <w:rFonts w:hint="eastAsia" w:ascii="宋体" w:hAnsi="宋体" w:cs="宋体"/>
        </w:rPr>
      </w:pPr>
      <w:r>
        <w:rPr>
          <w:rFonts w:hint="eastAsia" w:ascii="宋体" w:hAnsi="宋体" w:cs="宋体"/>
        </w:rPr>
        <w:t>6.7 定期为甲方工作人员进行操作培训。</w:t>
      </w:r>
    </w:p>
    <w:p w14:paraId="33E4D169">
      <w:pPr>
        <w:adjustRightInd w:val="0"/>
        <w:snapToGrid w:val="0"/>
        <w:spacing w:line="360" w:lineRule="auto"/>
        <w:ind w:firstLine="422" w:firstLineChars="200"/>
        <w:rPr>
          <w:rFonts w:hint="eastAsia" w:ascii="宋体" w:hAnsi="宋体" w:cs="宋体"/>
          <w:b/>
        </w:rPr>
      </w:pPr>
      <w:r>
        <w:rPr>
          <w:rFonts w:hint="eastAsia" w:ascii="宋体" w:hAnsi="宋体" w:cs="宋体"/>
          <w:b/>
        </w:rPr>
        <w:t>七、验收</w:t>
      </w:r>
    </w:p>
    <w:p w14:paraId="0189006F">
      <w:pPr>
        <w:adjustRightInd w:val="0"/>
        <w:snapToGrid w:val="0"/>
        <w:spacing w:line="360" w:lineRule="auto"/>
        <w:ind w:firstLine="420" w:firstLineChars="200"/>
        <w:rPr>
          <w:rFonts w:hint="eastAsia" w:ascii="宋体" w:hAnsi="宋体" w:cs="宋体"/>
        </w:rPr>
      </w:pPr>
      <w:r>
        <w:rPr>
          <w:rFonts w:hint="eastAsia" w:ascii="宋体" w:hAnsi="宋体" w:cs="宋体"/>
        </w:rPr>
        <w:t>7.1本合同生效后，甲方按照合同约定向甲方交付产品，送至甲方指定地点后，甲方对乙方交付货物品名、数量、规格、型号及外包装进行初步验收，若发现产品规格，型号、外包装等有任何问题，乙方应当立即更换，否则，甲方有权拒收，且不承担任何责任。同时，甲方对产品外包装、数量、规格、型号的初步验收不作为甲方对乙方产品质量的认可及支付货款的依据。</w:t>
      </w:r>
    </w:p>
    <w:p w14:paraId="708D85A5">
      <w:pPr>
        <w:adjustRightInd w:val="0"/>
        <w:snapToGrid w:val="0"/>
        <w:spacing w:line="360" w:lineRule="auto"/>
        <w:ind w:firstLine="420" w:firstLineChars="200"/>
        <w:rPr>
          <w:rFonts w:hint="eastAsia" w:ascii="宋体" w:hAnsi="宋体" w:cs="宋体"/>
        </w:rPr>
      </w:pPr>
      <w:r>
        <w:rPr>
          <w:rFonts w:hint="eastAsia" w:ascii="宋体" w:hAnsi="宋体" w:cs="宋体"/>
        </w:rPr>
        <w:t>7.2本合同签订后，乙方按照甲方要求在约定期限内将货品全部交付甲方并完成全部货品的安装调试工作后，向甲方提出书面试运行申请，甲方收到试运行申请后试运行，连续试运行且无任何质量问题后，甲方依据该项目的招标文件、投标文件、采购合同及国家相关的验收标准，在该项目完成试运行后组织专家进行验收，验收合格后向乙方出具验收合格证。</w:t>
      </w:r>
    </w:p>
    <w:p w14:paraId="77AC20F7">
      <w:pPr>
        <w:adjustRightInd w:val="0"/>
        <w:snapToGrid w:val="0"/>
        <w:spacing w:line="360" w:lineRule="auto"/>
        <w:ind w:firstLine="420" w:firstLineChars="200"/>
        <w:rPr>
          <w:rFonts w:hint="eastAsia" w:ascii="宋体" w:hAnsi="宋体" w:cs="宋体"/>
        </w:rPr>
      </w:pPr>
      <w:r>
        <w:rPr>
          <w:rFonts w:hint="eastAsia" w:ascii="宋体" w:hAnsi="宋体" w:cs="宋体"/>
        </w:rPr>
        <w:t>7.3乙方向甲方申请书面验收的，除应将收集的从该项目从投标开始至竣工验收期间所产生的所有经济、技术资料，并按时间顺序分类编辑，胶装成册，一正两副作为申请验收附件，提价甲方，若提交资料不全视为验收不合格。</w:t>
      </w:r>
    </w:p>
    <w:p w14:paraId="7873346E">
      <w:pPr>
        <w:adjustRightInd w:val="0"/>
        <w:snapToGrid w:val="0"/>
        <w:spacing w:line="360" w:lineRule="auto"/>
        <w:ind w:firstLine="316" w:firstLineChars="150"/>
        <w:rPr>
          <w:rFonts w:hint="eastAsia" w:ascii="宋体" w:hAnsi="宋体" w:cs="宋体"/>
          <w:b/>
          <w:bCs/>
        </w:rPr>
      </w:pPr>
      <w:r>
        <w:rPr>
          <w:rFonts w:hint="eastAsia" w:ascii="宋体" w:hAnsi="宋体" w:cs="宋体"/>
          <w:b/>
          <w:bCs/>
        </w:rPr>
        <w:t>八、反贿赂条款</w:t>
      </w:r>
    </w:p>
    <w:p w14:paraId="7FEC4326">
      <w:pPr>
        <w:adjustRightInd w:val="0"/>
        <w:snapToGrid w:val="0"/>
        <w:spacing w:line="360" w:lineRule="auto"/>
        <w:ind w:firstLine="420" w:firstLineChars="200"/>
        <w:rPr>
          <w:rFonts w:hint="eastAsia" w:ascii="宋体" w:hAnsi="宋体" w:cs="宋体"/>
        </w:rPr>
      </w:pPr>
      <w:r>
        <w:rPr>
          <w:rFonts w:hint="eastAsia" w:ascii="宋体" w:hAnsi="宋体" w:cs="宋体"/>
        </w:rPr>
        <w:t>乙方保证并承诺，在本货物提供过程中，乙方提供本货物的工作团队成员严格遵守中国相关的反贿赂、反行贿及反不正当竞争法的相关法律法规规定，不得从事违反相关法律法规的行为。乙方自身不得并应促使其员工、代表、合作伙伴或分包商不得，为获得和保留本货物或谋求与本货物相关的不正当的商业优势，直接或间接向甲方或账外暗中向甲方工作人员给付或承诺给付任何违反中国相关的反贿赂、反行贿或反不正当竞争法律法规的报酬、礼物以及其他有价值的物品或利益。</w:t>
      </w:r>
    </w:p>
    <w:p w14:paraId="236FEF5D">
      <w:pPr>
        <w:adjustRightInd w:val="0"/>
        <w:snapToGrid w:val="0"/>
        <w:spacing w:line="360" w:lineRule="auto"/>
        <w:ind w:firstLine="316" w:firstLineChars="150"/>
        <w:rPr>
          <w:rFonts w:hint="eastAsia" w:ascii="宋体" w:hAnsi="宋体" w:cs="宋体"/>
          <w:b/>
          <w:bCs/>
        </w:rPr>
      </w:pPr>
      <w:r>
        <w:rPr>
          <w:rFonts w:hint="eastAsia" w:ascii="宋体" w:hAnsi="宋体" w:cs="宋体"/>
          <w:b/>
          <w:bCs/>
        </w:rPr>
        <w:t>九、违约责任</w:t>
      </w:r>
    </w:p>
    <w:p w14:paraId="2BCEAD28">
      <w:pPr>
        <w:adjustRightInd w:val="0"/>
        <w:snapToGrid w:val="0"/>
        <w:spacing w:line="360" w:lineRule="auto"/>
        <w:ind w:firstLine="420" w:firstLineChars="200"/>
        <w:rPr>
          <w:rFonts w:hint="eastAsia" w:ascii="宋体" w:hAnsi="宋体" w:cs="宋体"/>
        </w:rPr>
      </w:pPr>
      <w:r>
        <w:rPr>
          <w:rFonts w:hint="eastAsia" w:ascii="宋体" w:hAnsi="宋体" w:cs="宋体"/>
        </w:rPr>
        <w:t>9.1未按照合同约定期限向甲方提供符合合同约定品名、数量、规格、型号的产品，每逾期一日，按照合同总金额千分之一向甲方支付违约金；逾期超过三十日的，甲方有权解除合同，且不向乙方承担任何责任，甲方解除合同的，已支付费用向甲方返还，给甲方造成损失的，乙方承担赔偿责任；</w:t>
      </w:r>
    </w:p>
    <w:p w14:paraId="0B53232F">
      <w:pPr>
        <w:adjustRightInd w:val="0"/>
        <w:snapToGrid w:val="0"/>
        <w:spacing w:line="360" w:lineRule="auto"/>
        <w:ind w:firstLine="420" w:firstLineChars="200"/>
        <w:rPr>
          <w:rFonts w:hint="eastAsia" w:ascii="宋体" w:hAnsi="宋体" w:cs="宋体"/>
        </w:rPr>
      </w:pPr>
      <w:r>
        <w:rPr>
          <w:rFonts w:hint="eastAsia" w:ascii="宋体" w:hAnsi="宋体" w:cs="宋体"/>
        </w:rPr>
        <w:t>9.2在履行合同过程中，如果乙方遇到可能妨碍按时完工或提供服务的情况，应及时以书面形式告知甲方，甲方进行审核，经甲方书面审核同意后，可酌情延长工期，甲方同意延长工期的，乙方应当按照合同总金额千分之一向乙方支付违约金；若乙方无正当理由延长工期超过30天，甲方有权停止付款，并可委托其他第三方协助完成乙方项下工作内容，由此产生的费用由乙方承担，甲方从应当支付乙方款项中直接扣除。</w:t>
      </w:r>
    </w:p>
    <w:p w14:paraId="32A42CE1">
      <w:pPr>
        <w:adjustRightInd w:val="0"/>
        <w:snapToGrid w:val="0"/>
        <w:spacing w:line="360" w:lineRule="auto"/>
        <w:ind w:firstLine="420" w:firstLineChars="200"/>
        <w:rPr>
          <w:rFonts w:hint="eastAsia" w:ascii="宋体" w:hAnsi="宋体" w:cs="宋体"/>
        </w:rPr>
      </w:pPr>
      <w:r>
        <w:rPr>
          <w:rFonts w:hint="eastAsia" w:ascii="宋体" w:hAnsi="宋体" w:cs="宋体"/>
        </w:rPr>
        <w:t>9.3本合同签订后，乙方不得就合同项下义务转任何第三方完成，一经发现，甲方有权解除合同。乙方应当按照合同总金额两倍向甲方支付赔偿金；</w:t>
      </w:r>
    </w:p>
    <w:p w14:paraId="43F073F7">
      <w:pPr>
        <w:pStyle w:val="3"/>
        <w:adjustRightInd w:val="0"/>
        <w:snapToGrid w:val="0"/>
        <w:spacing w:line="360" w:lineRule="auto"/>
        <w:ind w:firstLine="420" w:firstLineChars="200"/>
        <w:rPr>
          <w:rFonts w:hint="eastAsia" w:ascii="宋体" w:hAnsi="宋体" w:cs="宋体"/>
          <w:color w:val="auto"/>
        </w:rPr>
      </w:pPr>
      <w:r>
        <w:rPr>
          <w:rFonts w:hint="eastAsia" w:ascii="宋体" w:hAnsi="宋体" w:cs="宋体"/>
          <w:color w:val="auto"/>
          <w:sz w:val="21"/>
          <w:szCs w:val="21"/>
        </w:rPr>
        <w:t>9.4乙方向甲方提供的产品不符合合同及甲方要求且拒绝更换的，乙方应当按照合同总金额20%向甲方承担违约金，同时，甲方可直接从其他第三方采购，因此产生的费用，由乙方承担，并从应付款中直接扣除；</w:t>
      </w:r>
    </w:p>
    <w:p w14:paraId="56919DDE">
      <w:pPr>
        <w:adjustRightInd w:val="0"/>
        <w:snapToGrid w:val="0"/>
        <w:spacing w:line="360" w:lineRule="auto"/>
        <w:ind w:firstLine="420" w:firstLineChars="200"/>
        <w:rPr>
          <w:rFonts w:hint="eastAsia" w:ascii="宋体" w:hAnsi="宋体" w:cs="宋体"/>
        </w:rPr>
      </w:pPr>
      <w:r>
        <w:rPr>
          <w:rFonts w:hint="eastAsia" w:ascii="宋体" w:hAnsi="宋体" w:cs="宋体"/>
        </w:rPr>
        <w:t>9.5乙方违反贿赂条款、保密义务的，按照合同总金额20%向甲方承担违约金，造成损失的，承担赔偿责任；</w:t>
      </w:r>
    </w:p>
    <w:p w14:paraId="08387FEE">
      <w:pPr>
        <w:adjustRightInd w:val="0"/>
        <w:snapToGrid w:val="0"/>
        <w:spacing w:line="360" w:lineRule="auto"/>
        <w:ind w:firstLine="420" w:firstLineChars="200"/>
        <w:rPr>
          <w:rFonts w:hint="eastAsia" w:ascii="宋体" w:hAnsi="宋体" w:cs="宋体"/>
        </w:rPr>
      </w:pPr>
      <w:r>
        <w:rPr>
          <w:rFonts w:hint="eastAsia" w:ascii="宋体" w:hAnsi="宋体" w:cs="宋体"/>
        </w:rPr>
        <w:t>9.6乙方不能按照合同约定向甲方定期培训，按照合同总金额20%向甲方承担违约金，造成损失的，承担赔偿责任；</w:t>
      </w:r>
    </w:p>
    <w:p w14:paraId="57BC8DEA">
      <w:pPr>
        <w:adjustRightInd w:val="0"/>
        <w:snapToGrid w:val="0"/>
        <w:spacing w:line="360" w:lineRule="auto"/>
        <w:ind w:firstLine="420" w:firstLineChars="200"/>
        <w:rPr>
          <w:rFonts w:hint="eastAsia" w:ascii="宋体" w:hAnsi="宋体" w:cs="宋体"/>
        </w:rPr>
      </w:pPr>
      <w:r>
        <w:rPr>
          <w:rFonts w:hint="eastAsia" w:ascii="宋体" w:hAnsi="宋体" w:cs="宋体"/>
        </w:rPr>
        <w:t>9.7乙方拒绝对提供的设施设备所附带的软件升级，或交付的软件为盗版的，按照合同总价两倍将甲方支付违约金，若因此导致甲方向其他第三方赔偿，因此产生的赔偿款、行政罚款、律师费、诉讼费、保全费以及其他一切可能产生的费用全部由乙方承担。</w:t>
      </w:r>
    </w:p>
    <w:p w14:paraId="2B35B987">
      <w:pPr>
        <w:adjustRightInd w:val="0"/>
        <w:snapToGrid w:val="0"/>
        <w:spacing w:line="360" w:lineRule="auto"/>
        <w:ind w:firstLine="420" w:firstLineChars="200"/>
        <w:rPr>
          <w:rFonts w:hint="eastAsia" w:ascii="宋体" w:hAnsi="宋体" w:cs="宋体"/>
        </w:rPr>
      </w:pPr>
      <w:r>
        <w:rPr>
          <w:rFonts w:hint="eastAsia" w:ascii="宋体" w:hAnsi="宋体" w:cs="宋体"/>
        </w:rPr>
        <w:t>9.8乙方应当审慎履行安全义务，乙方因履行本合同产生的人身、财产安全的，责任全部由乙方承担，若因此导致甲方向其他第三方赔偿，因此产生的赔偿款、行政罚款、律师费、诉讼费、保全费以及其他一切可能产生的费用全部由乙方承担。</w:t>
      </w:r>
    </w:p>
    <w:p w14:paraId="79FEB994">
      <w:pPr>
        <w:adjustRightInd w:val="0"/>
        <w:snapToGrid w:val="0"/>
        <w:spacing w:line="360" w:lineRule="auto"/>
        <w:ind w:firstLine="316" w:firstLineChars="150"/>
        <w:rPr>
          <w:rFonts w:hint="eastAsia" w:ascii="宋体" w:hAnsi="宋体" w:cs="宋体"/>
          <w:b/>
          <w:bCs/>
        </w:rPr>
      </w:pPr>
      <w:r>
        <w:rPr>
          <w:rFonts w:hint="eastAsia" w:ascii="宋体" w:hAnsi="宋体" w:cs="宋体"/>
          <w:b/>
          <w:bCs/>
        </w:rPr>
        <w:t>十、安全协议</w:t>
      </w:r>
    </w:p>
    <w:p w14:paraId="2AF26372">
      <w:pPr>
        <w:adjustRightInd w:val="0"/>
        <w:snapToGrid w:val="0"/>
        <w:spacing w:line="360" w:lineRule="auto"/>
        <w:ind w:firstLine="420" w:firstLineChars="200"/>
        <w:rPr>
          <w:rFonts w:hint="eastAsia" w:ascii="宋体" w:hAnsi="宋体" w:cs="宋体"/>
        </w:rPr>
      </w:pPr>
      <w:r>
        <w:rPr>
          <w:rFonts w:hint="eastAsia" w:ascii="宋体" w:hAnsi="宋体" w:cs="宋体"/>
        </w:rPr>
        <w:t>10.1生产、运输、安装及调试等全部履行合同过程中，乙方应当为其员工办理社保及人身意外保险，若因乙方在合同履行过程中如发生人身安全事故，责任由乙方自行承担，与甲方无关，因此给甲方造成损失的，承担赔偿责任。</w:t>
      </w:r>
    </w:p>
    <w:p w14:paraId="6955EE01">
      <w:pPr>
        <w:adjustRightInd w:val="0"/>
        <w:snapToGrid w:val="0"/>
        <w:spacing w:line="360" w:lineRule="auto"/>
        <w:ind w:firstLine="420" w:firstLineChars="200"/>
        <w:rPr>
          <w:rFonts w:hint="eastAsia" w:ascii="宋体" w:hAnsi="宋体" w:cs="宋体"/>
        </w:rPr>
      </w:pPr>
      <w:r>
        <w:rPr>
          <w:rFonts w:hint="eastAsia" w:ascii="宋体" w:hAnsi="宋体" w:cs="宋体"/>
        </w:rPr>
        <w:t>10.2乙方负责施工过程的疫情防控工作和所有人员的健康监督监控，须无条件服从甲方的各项防疫部署和措施，若出现确诊、疑似或密切接触病例及人群，须承担全部责任并尽快妥善处置，与甲方无关。</w:t>
      </w:r>
    </w:p>
    <w:p w14:paraId="4C737060">
      <w:pPr>
        <w:adjustRightInd w:val="0"/>
        <w:snapToGrid w:val="0"/>
        <w:spacing w:line="360" w:lineRule="auto"/>
        <w:ind w:firstLine="316" w:firstLineChars="150"/>
        <w:rPr>
          <w:rFonts w:hint="eastAsia" w:ascii="宋体" w:hAnsi="宋体" w:cs="宋体"/>
          <w:b/>
          <w:bCs/>
        </w:rPr>
      </w:pPr>
      <w:r>
        <w:rPr>
          <w:rFonts w:hint="eastAsia" w:ascii="宋体" w:hAnsi="宋体" w:cs="宋体"/>
          <w:b/>
          <w:bCs/>
        </w:rPr>
        <w:t>十一、双方义务</w:t>
      </w:r>
    </w:p>
    <w:p w14:paraId="7F77171B">
      <w:pPr>
        <w:pStyle w:val="9"/>
        <w:adjustRightInd w:val="0"/>
        <w:snapToGrid w:val="0"/>
        <w:spacing w:line="360" w:lineRule="auto"/>
        <w:ind w:firstLine="361" w:firstLineChars="200"/>
        <w:rPr>
          <w:rFonts w:hint="eastAsia" w:hAnsi="宋体" w:cs="宋体"/>
          <w:b/>
          <w:bCs/>
          <w:color w:val="auto"/>
        </w:rPr>
      </w:pPr>
      <w:r>
        <w:rPr>
          <w:rFonts w:hint="eastAsia" w:hAnsi="宋体" w:cs="宋体"/>
          <w:b/>
          <w:bCs/>
          <w:color w:val="auto"/>
          <w:sz w:val="18"/>
          <w:szCs w:val="18"/>
        </w:rPr>
        <w:t>（一）</w:t>
      </w:r>
      <w:r>
        <w:rPr>
          <w:rFonts w:hint="eastAsia" w:hAnsi="宋体" w:cs="宋体"/>
          <w:b/>
          <w:bCs/>
          <w:color w:val="auto"/>
        </w:rPr>
        <w:t>甲方义务</w:t>
      </w:r>
    </w:p>
    <w:p w14:paraId="2A319E9D">
      <w:pPr>
        <w:adjustRightInd w:val="0"/>
        <w:snapToGrid w:val="0"/>
        <w:spacing w:line="360" w:lineRule="auto"/>
        <w:ind w:firstLine="420" w:firstLineChars="200"/>
        <w:rPr>
          <w:rFonts w:hint="eastAsia" w:ascii="宋体" w:hAnsi="宋体" w:cs="宋体"/>
        </w:rPr>
      </w:pPr>
      <w:r>
        <w:rPr>
          <w:rFonts w:hint="eastAsia" w:ascii="宋体" w:hAnsi="宋体" w:cs="宋体"/>
        </w:rPr>
        <w:t>1、甲方有权要求乙方供货的项目内容符合国家、行业相关规范，符合国家验收标准，能够通过国家验收。</w:t>
      </w:r>
    </w:p>
    <w:p w14:paraId="3C8B7731">
      <w:pPr>
        <w:adjustRightInd w:val="0"/>
        <w:snapToGrid w:val="0"/>
        <w:spacing w:line="360" w:lineRule="auto"/>
        <w:ind w:firstLine="420" w:firstLineChars="200"/>
        <w:rPr>
          <w:rFonts w:hint="eastAsia" w:ascii="宋体" w:hAnsi="宋体" w:cs="宋体"/>
        </w:rPr>
      </w:pPr>
      <w:r>
        <w:rPr>
          <w:rFonts w:hint="eastAsia" w:ascii="宋体" w:hAnsi="宋体" w:cs="宋体"/>
        </w:rPr>
        <w:t>2、甲方有权要求乙方配合甲方完成所采购项目内容的预验收工作以及正式验收工作、试运行工作。</w:t>
      </w:r>
    </w:p>
    <w:p w14:paraId="5EEB337F">
      <w:pPr>
        <w:adjustRightInd w:val="0"/>
        <w:snapToGrid w:val="0"/>
        <w:spacing w:line="360" w:lineRule="auto"/>
        <w:ind w:firstLine="420" w:firstLineChars="200"/>
        <w:rPr>
          <w:rFonts w:hint="eastAsia" w:ascii="宋体" w:hAnsi="宋体" w:cs="宋体"/>
        </w:rPr>
      </w:pPr>
      <w:r>
        <w:rPr>
          <w:rFonts w:hint="eastAsia" w:ascii="宋体" w:hAnsi="宋体" w:cs="宋体"/>
        </w:rPr>
        <w:t>3、甲方有权要求乙方提供的产品所涉及的第三方权利进行免责。</w:t>
      </w:r>
    </w:p>
    <w:p w14:paraId="29C976FF">
      <w:pPr>
        <w:adjustRightInd w:val="0"/>
        <w:snapToGrid w:val="0"/>
        <w:spacing w:line="360" w:lineRule="auto"/>
        <w:ind w:firstLine="420" w:firstLineChars="200"/>
        <w:rPr>
          <w:rFonts w:hint="eastAsia" w:ascii="宋体" w:hAnsi="宋体" w:cs="宋体"/>
        </w:rPr>
      </w:pPr>
      <w:r>
        <w:rPr>
          <w:rFonts w:hint="eastAsia" w:ascii="宋体" w:hAnsi="宋体" w:cs="宋体"/>
        </w:rPr>
        <w:t>4、甲方有义务保证按合同所规定的内容及时间支付乙方相关费用。</w:t>
      </w:r>
    </w:p>
    <w:p w14:paraId="72CEDC3D">
      <w:pPr>
        <w:adjustRightInd w:val="0"/>
        <w:snapToGrid w:val="0"/>
        <w:spacing w:line="360" w:lineRule="auto"/>
        <w:ind w:firstLine="420" w:firstLineChars="200"/>
        <w:rPr>
          <w:rFonts w:hint="eastAsia" w:ascii="宋体" w:hAnsi="宋体" w:cs="宋体"/>
        </w:rPr>
      </w:pPr>
      <w:r>
        <w:rPr>
          <w:rFonts w:hint="eastAsia" w:ascii="宋体" w:hAnsi="宋体" w:cs="宋体"/>
        </w:rPr>
        <w:t>5、甲方项目负责人为</w:t>
      </w:r>
      <w:r>
        <w:rPr>
          <w:rFonts w:hint="eastAsia" w:ascii="宋体" w:hAnsi="宋体" w:cs="宋体"/>
          <w:u w:val="single"/>
        </w:rPr>
        <w:t xml:space="preserve">           </w:t>
      </w:r>
      <w:r>
        <w:rPr>
          <w:rFonts w:hint="eastAsia" w:ascii="宋体" w:hAnsi="宋体" w:cs="宋体"/>
        </w:rPr>
        <w:t>。</w:t>
      </w:r>
    </w:p>
    <w:p w14:paraId="62D6477C">
      <w:pPr>
        <w:adjustRightInd w:val="0"/>
        <w:snapToGrid w:val="0"/>
        <w:spacing w:line="360" w:lineRule="auto"/>
        <w:ind w:firstLine="420" w:firstLineChars="200"/>
        <w:rPr>
          <w:rFonts w:hint="eastAsia" w:ascii="宋体" w:hAnsi="宋体" w:cs="宋体"/>
        </w:rPr>
      </w:pPr>
      <w:r>
        <w:rPr>
          <w:rFonts w:hint="eastAsia" w:ascii="宋体" w:hAnsi="宋体" w:cs="宋体"/>
        </w:rPr>
        <w:t>6、协调乙方供货时与其他施工单位的关系。</w:t>
      </w:r>
    </w:p>
    <w:p w14:paraId="5B0568F9">
      <w:pPr>
        <w:adjustRightInd w:val="0"/>
        <w:snapToGrid w:val="0"/>
        <w:spacing w:line="360" w:lineRule="auto"/>
        <w:ind w:firstLine="420" w:firstLineChars="200"/>
        <w:rPr>
          <w:rFonts w:hint="eastAsia" w:ascii="宋体" w:hAnsi="宋体" w:cs="宋体"/>
        </w:rPr>
      </w:pPr>
      <w:r>
        <w:rPr>
          <w:rFonts w:hint="eastAsia" w:ascii="宋体" w:hAnsi="宋体" w:cs="宋体"/>
        </w:rPr>
        <w:t>7、乙方不能按甲方要求及时供货，甲方有单方解除合同的权利。解除合同的同时，甲方有权利与评标报告中排名第二的供应商签订新的供货合同。</w:t>
      </w:r>
    </w:p>
    <w:p w14:paraId="4112AEA1">
      <w:pPr>
        <w:adjustRightInd w:val="0"/>
        <w:snapToGrid w:val="0"/>
        <w:spacing w:line="360" w:lineRule="auto"/>
        <w:ind w:firstLine="420" w:firstLineChars="200"/>
        <w:rPr>
          <w:rFonts w:hint="eastAsia" w:ascii="宋体" w:hAnsi="宋体" w:cs="宋体"/>
        </w:rPr>
      </w:pPr>
      <w:r>
        <w:rPr>
          <w:rFonts w:hint="eastAsia" w:ascii="宋体" w:hAnsi="宋体" w:cs="宋体"/>
        </w:rPr>
        <w:t>8、因乙方原因供货延误，给甲方造成损失或被第三方要求索赔的，乙方承担所有损失（包括但不限于甲方向其他第三方赔偿、因处理纠纷产生的律师费、诉讼费、保全费、交通费等全部费用）。</w:t>
      </w:r>
    </w:p>
    <w:p w14:paraId="7D2B23D7">
      <w:pPr>
        <w:pStyle w:val="9"/>
        <w:adjustRightInd w:val="0"/>
        <w:snapToGrid w:val="0"/>
        <w:spacing w:line="360" w:lineRule="auto"/>
        <w:ind w:firstLine="361" w:firstLineChars="200"/>
        <w:rPr>
          <w:rFonts w:hint="eastAsia" w:hAnsi="宋体" w:cs="宋体"/>
          <w:b/>
          <w:bCs/>
          <w:color w:val="auto"/>
        </w:rPr>
      </w:pPr>
      <w:r>
        <w:rPr>
          <w:rFonts w:hint="eastAsia" w:hAnsi="宋体" w:cs="宋体"/>
          <w:b/>
          <w:bCs/>
          <w:color w:val="auto"/>
          <w:sz w:val="18"/>
          <w:szCs w:val="18"/>
        </w:rPr>
        <w:t>（二）</w:t>
      </w:r>
      <w:r>
        <w:rPr>
          <w:rFonts w:hint="eastAsia" w:hAnsi="宋体" w:cs="宋体"/>
          <w:b/>
          <w:bCs/>
          <w:color w:val="auto"/>
        </w:rPr>
        <w:t>乙方义务</w:t>
      </w:r>
    </w:p>
    <w:p w14:paraId="12CB81F8">
      <w:pPr>
        <w:adjustRightInd w:val="0"/>
        <w:snapToGrid w:val="0"/>
        <w:spacing w:line="360" w:lineRule="auto"/>
        <w:ind w:firstLine="420" w:firstLineChars="200"/>
        <w:rPr>
          <w:rFonts w:hint="eastAsia" w:ascii="宋体" w:hAnsi="宋体" w:cs="宋体"/>
        </w:rPr>
      </w:pPr>
      <w:r>
        <w:rPr>
          <w:rFonts w:hint="eastAsia" w:ascii="宋体" w:hAnsi="宋体" w:cs="宋体"/>
        </w:rPr>
        <w:t>1、乙方应按本合同的规定供货，并保证产品质量符合国家标准。</w:t>
      </w:r>
    </w:p>
    <w:p w14:paraId="428DB984">
      <w:pPr>
        <w:adjustRightInd w:val="0"/>
        <w:snapToGrid w:val="0"/>
        <w:spacing w:line="360" w:lineRule="auto"/>
        <w:ind w:firstLine="420" w:firstLineChars="200"/>
        <w:rPr>
          <w:rFonts w:hint="eastAsia" w:ascii="宋体" w:hAnsi="宋体" w:cs="宋体"/>
        </w:rPr>
      </w:pPr>
      <w:r>
        <w:rPr>
          <w:rFonts w:hint="eastAsia" w:ascii="宋体" w:hAnsi="宋体" w:cs="宋体"/>
        </w:rPr>
        <w:t>2、乙方有义务配合甲方参与项目的预验收、正式竣工验收及试运行工作，并确保所供货物符合本项目国家现行标准。</w:t>
      </w:r>
    </w:p>
    <w:p w14:paraId="4654E24C">
      <w:pPr>
        <w:adjustRightInd w:val="0"/>
        <w:snapToGrid w:val="0"/>
        <w:spacing w:line="360" w:lineRule="auto"/>
        <w:ind w:firstLine="420" w:firstLineChars="200"/>
        <w:rPr>
          <w:rFonts w:hint="eastAsia" w:ascii="宋体" w:hAnsi="宋体" w:cs="宋体"/>
        </w:rPr>
      </w:pPr>
      <w:r>
        <w:rPr>
          <w:rFonts w:hint="eastAsia" w:ascii="宋体" w:hAnsi="宋体" w:cs="宋体"/>
        </w:rPr>
        <w:t>3、乙方项目负责人为 </w:t>
      </w:r>
    </w:p>
    <w:p w14:paraId="693F9B2F">
      <w:pPr>
        <w:adjustRightInd w:val="0"/>
        <w:snapToGrid w:val="0"/>
        <w:spacing w:line="360" w:lineRule="auto"/>
        <w:ind w:firstLine="420" w:firstLineChars="200"/>
        <w:rPr>
          <w:rFonts w:hint="eastAsia" w:ascii="宋体" w:hAnsi="宋体" w:cs="宋体"/>
        </w:rPr>
      </w:pPr>
      <w:r>
        <w:rPr>
          <w:rFonts w:hint="eastAsia" w:ascii="宋体" w:hAnsi="宋体" w:cs="宋体"/>
        </w:rPr>
        <w:t>4、乙方产品进场时应充分了解甲方的现场各项管理标准文件，并在进场后全面服从甲方的管理制度、管理细则、工作流程等。</w:t>
      </w:r>
    </w:p>
    <w:p w14:paraId="68C1138B">
      <w:pPr>
        <w:adjustRightInd w:val="0"/>
        <w:snapToGrid w:val="0"/>
        <w:spacing w:line="360" w:lineRule="auto"/>
        <w:ind w:firstLine="420" w:firstLineChars="200"/>
        <w:rPr>
          <w:rFonts w:hint="eastAsia" w:ascii="宋体" w:hAnsi="宋体" w:cs="宋体"/>
        </w:rPr>
      </w:pPr>
      <w:r>
        <w:rPr>
          <w:rFonts w:hint="eastAsia" w:ascii="宋体" w:hAnsi="宋体" w:cs="宋体"/>
        </w:rPr>
        <w:t>5、遵守招标文件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65865F3C">
      <w:pPr>
        <w:adjustRightInd w:val="0"/>
        <w:snapToGrid w:val="0"/>
        <w:spacing w:line="360" w:lineRule="auto"/>
        <w:ind w:firstLine="420" w:firstLineChars="200"/>
        <w:rPr>
          <w:rFonts w:hint="eastAsia" w:ascii="宋体" w:hAnsi="宋体" w:cs="宋体"/>
        </w:rPr>
      </w:pPr>
      <w:r>
        <w:rPr>
          <w:rFonts w:hint="eastAsia" w:ascii="宋体" w:hAnsi="宋体" w:cs="宋体"/>
        </w:rPr>
        <w:t>6、在货物验收时，向买方提供《货物使用说明书》等技术文件，如有必要乙方应向甲方提供现场的操作指导</w:t>
      </w:r>
    </w:p>
    <w:p w14:paraId="2CDA5970">
      <w:pPr>
        <w:adjustRightInd w:val="0"/>
        <w:snapToGrid w:val="0"/>
        <w:spacing w:line="360" w:lineRule="auto"/>
        <w:ind w:firstLine="422" w:firstLineChars="200"/>
        <w:rPr>
          <w:rFonts w:hint="eastAsia" w:ascii="宋体" w:hAnsi="宋体" w:cs="宋体"/>
          <w:b/>
        </w:rPr>
      </w:pPr>
      <w:r>
        <w:rPr>
          <w:rFonts w:hint="eastAsia" w:ascii="宋体" w:hAnsi="宋体" w:cs="宋体"/>
          <w:b/>
        </w:rPr>
        <w:t>十二、质量要求、技术标准和交货要求</w:t>
      </w:r>
    </w:p>
    <w:p w14:paraId="19F753EB">
      <w:pPr>
        <w:adjustRightInd w:val="0"/>
        <w:snapToGrid w:val="0"/>
        <w:spacing w:line="360" w:lineRule="auto"/>
        <w:ind w:firstLine="420" w:firstLineChars="200"/>
        <w:rPr>
          <w:rFonts w:hint="eastAsia" w:ascii="宋体" w:hAnsi="宋体" w:cs="宋体"/>
        </w:rPr>
      </w:pPr>
      <w:r>
        <w:rPr>
          <w:rFonts w:hint="eastAsia" w:ascii="宋体" w:hAnsi="宋体" w:cs="宋体"/>
        </w:rPr>
        <w:t>1、质量要求：产品在设计、制造、包装、运输及安装等全部程序过程中，严格执行国家及行业标准规范。</w:t>
      </w:r>
    </w:p>
    <w:p w14:paraId="1E7AF9DB">
      <w:pPr>
        <w:adjustRightInd w:val="0"/>
        <w:snapToGrid w:val="0"/>
        <w:spacing w:line="360" w:lineRule="auto"/>
        <w:ind w:firstLine="420" w:firstLineChars="200"/>
        <w:rPr>
          <w:rFonts w:hint="eastAsia" w:ascii="宋体" w:hAnsi="宋体" w:cs="宋体"/>
        </w:rPr>
      </w:pPr>
      <w:r>
        <w:rPr>
          <w:rFonts w:hint="eastAsia" w:ascii="宋体" w:hAnsi="宋体" w:cs="宋体"/>
        </w:rPr>
        <w:t>2、详见产品执行的技术标准（见附件3）。</w:t>
      </w:r>
    </w:p>
    <w:p w14:paraId="4B52845B">
      <w:pPr>
        <w:adjustRightInd w:val="0"/>
        <w:snapToGrid w:val="0"/>
        <w:spacing w:line="360" w:lineRule="auto"/>
        <w:ind w:firstLine="420" w:firstLineChars="200"/>
        <w:rPr>
          <w:rFonts w:hint="eastAsia" w:ascii="宋体" w:hAnsi="宋体" w:cs="宋体"/>
        </w:rPr>
      </w:pPr>
      <w:r>
        <w:rPr>
          <w:rFonts w:hint="eastAsia" w:ascii="宋体" w:hAnsi="宋体" w:cs="宋体"/>
        </w:rPr>
        <w:t>3.乙方应保证所提供的产品均为崭新的、合法的正品，其质量、规格和性能应完全满足合同约定要求。</w:t>
      </w:r>
    </w:p>
    <w:p w14:paraId="6FF1F5F6">
      <w:pPr>
        <w:adjustRightInd w:val="0"/>
        <w:snapToGrid w:val="0"/>
        <w:spacing w:line="360" w:lineRule="auto"/>
        <w:ind w:firstLine="422" w:firstLineChars="200"/>
        <w:rPr>
          <w:rFonts w:hint="eastAsia" w:ascii="宋体" w:hAnsi="宋体" w:cs="宋体"/>
          <w:b/>
        </w:rPr>
      </w:pPr>
      <w:r>
        <w:rPr>
          <w:rFonts w:hint="eastAsia" w:ascii="宋体" w:hAnsi="宋体" w:cs="宋体"/>
          <w:b/>
        </w:rPr>
        <w:t>十三、保密条款</w:t>
      </w:r>
    </w:p>
    <w:p w14:paraId="2E62D8F8">
      <w:pPr>
        <w:adjustRightInd w:val="0"/>
        <w:snapToGrid w:val="0"/>
        <w:spacing w:line="360" w:lineRule="auto"/>
        <w:ind w:firstLine="420" w:firstLineChars="200"/>
        <w:rPr>
          <w:rFonts w:hint="eastAsia" w:ascii="宋体" w:hAnsi="宋体" w:cs="宋体"/>
        </w:rPr>
      </w:pPr>
      <w:r>
        <w:rPr>
          <w:rFonts w:hint="eastAsia" w:ascii="宋体" w:hAnsi="宋体" w:cs="宋体"/>
        </w:rPr>
        <w:t>双方承诺，除非法律另有规定或双方一致同意，任何一方不得将本协议的内容向第三方透露，否则，应向对方承担相应的违约责任。</w:t>
      </w:r>
    </w:p>
    <w:p w14:paraId="7325D716">
      <w:pPr>
        <w:adjustRightInd w:val="0"/>
        <w:snapToGrid w:val="0"/>
        <w:spacing w:line="360" w:lineRule="auto"/>
        <w:ind w:firstLine="420" w:firstLineChars="200"/>
        <w:rPr>
          <w:rFonts w:hint="eastAsia" w:ascii="宋体" w:hAnsi="宋体" w:cs="宋体"/>
        </w:rPr>
      </w:pPr>
      <w:r>
        <w:rPr>
          <w:rFonts w:hint="eastAsia" w:ascii="宋体" w:hAnsi="宋体" w:cs="宋体"/>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35C7527E">
      <w:pPr>
        <w:adjustRightInd w:val="0"/>
        <w:snapToGrid w:val="0"/>
        <w:spacing w:line="360" w:lineRule="auto"/>
        <w:ind w:firstLine="422" w:firstLineChars="200"/>
        <w:rPr>
          <w:rFonts w:hint="eastAsia" w:ascii="宋体" w:hAnsi="宋体" w:cs="宋体"/>
          <w:b/>
        </w:rPr>
      </w:pPr>
      <w:r>
        <w:rPr>
          <w:rFonts w:hint="eastAsia" w:ascii="宋体" w:hAnsi="宋体" w:cs="宋体"/>
          <w:b/>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2DADE1E1">
      <w:pPr>
        <w:adjustRightInd w:val="0"/>
        <w:snapToGrid w:val="0"/>
        <w:spacing w:line="360" w:lineRule="auto"/>
        <w:ind w:firstLine="422" w:firstLineChars="200"/>
        <w:rPr>
          <w:rFonts w:hint="eastAsia" w:ascii="宋体" w:hAnsi="宋体" w:cs="宋体"/>
          <w:b/>
          <w:bCs/>
        </w:rPr>
      </w:pPr>
      <w:r>
        <w:rPr>
          <w:rFonts w:hint="eastAsia" w:ascii="宋体" w:hAnsi="宋体" w:cs="宋体"/>
          <w:b/>
          <w:bCs/>
        </w:rPr>
        <w:t>十三、本合同未尽事宜，由双方届时商定。</w:t>
      </w:r>
    </w:p>
    <w:p w14:paraId="5C21B87D">
      <w:pPr>
        <w:adjustRightInd w:val="0"/>
        <w:snapToGrid w:val="0"/>
        <w:spacing w:line="360" w:lineRule="auto"/>
        <w:ind w:firstLine="420" w:firstLineChars="200"/>
        <w:rPr>
          <w:rFonts w:hint="eastAsia" w:ascii="宋体" w:hAnsi="宋体" w:cs="宋体"/>
        </w:rPr>
      </w:pPr>
      <w:r>
        <w:rPr>
          <w:rFonts w:hint="eastAsia" w:ascii="宋体" w:hAnsi="宋体" w:cs="宋体"/>
        </w:rPr>
        <w:t>12.1本合同在履行过程中发生的争议，由双方当事人协商解决；如不能协商解决，由甲方所在地法院管辖解决。</w:t>
      </w:r>
    </w:p>
    <w:p w14:paraId="078DABD6">
      <w:pPr>
        <w:adjustRightInd w:val="0"/>
        <w:snapToGrid w:val="0"/>
        <w:spacing w:line="360" w:lineRule="auto"/>
        <w:ind w:firstLine="420" w:firstLineChars="200"/>
        <w:rPr>
          <w:rFonts w:hint="eastAsia" w:ascii="宋体" w:hAnsi="宋体" w:cs="宋体"/>
        </w:rPr>
      </w:pPr>
      <w:r>
        <w:rPr>
          <w:rFonts w:hint="eastAsia" w:ascii="宋体" w:hAnsi="宋体" w:cs="宋体"/>
        </w:rPr>
        <w:t>12.2本合同一式</w:t>
      </w:r>
      <w:r>
        <w:rPr>
          <w:rFonts w:hint="eastAsia" w:ascii="宋体" w:hAnsi="宋体" w:cs="宋体"/>
          <w:u w:val="single"/>
        </w:rPr>
        <w:t xml:space="preserve"> 六 </w:t>
      </w:r>
      <w:r>
        <w:rPr>
          <w:rFonts w:hint="eastAsia" w:ascii="宋体" w:hAnsi="宋体" w:cs="宋体"/>
        </w:rPr>
        <w:t>份，甲方持</w:t>
      </w:r>
      <w:r>
        <w:rPr>
          <w:rFonts w:hint="eastAsia" w:ascii="宋体" w:hAnsi="宋体" w:cs="宋体"/>
          <w:u w:val="single"/>
        </w:rPr>
        <w:t>伍</w:t>
      </w:r>
      <w:r>
        <w:rPr>
          <w:rFonts w:hint="eastAsia" w:ascii="宋体" w:hAnsi="宋体" w:cs="宋体"/>
        </w:rPr>
        <w:t>份，乙方持</w:t>
      </w:r>
      <w:r>
        <w:rPr>
          <w:rFonts w:hint="eastAsia" w:ascii="宋体" w:hAnsi="宋体" w:cs="宋体"/>
          <w:u w:val="single"/>
        </w:rPr>
        <w:t>壹</w:t>
      </w:r>
      <w:r>
        <w:rPr>
          <w:rFonts w:hint="eastAsia" w:ascii="宋体" w:hAnsi="宋体" w:cs="宋体"/>
        </w:rPr>
        <w:t>份，甲、乙双方签字盖章后生效。</w:t>
      </w:r>
    </w:p>
    <w:p w14:paraId="696433C6">
      <w:pPr>
        <w:pStyle w:val="9"/>
        <w:spacing w:line="360" w:lineRule="auto"/>
        <w:ind w:firstLine="0" w:firstLineChars="0"/>
        <w:rPr>
          <w:rFonts w:hint="eastAsia" w:hAnsi="宋体" w:cs="宋体"/>
          <w:b/>
          <w:bCs/>
          <w:color w:val="auto"/>
          <w:sz w:val="24"/>
          <w:szCs w:val="24"/>
        </w:rPr>
      </w:pPr>
      <w:r>
        <w:rPr>
          <w:rFonts w:hint="eastAsia" w:hAnsi="宋体" w:cs="宋体"/>
          <w:b/>
          <w:bCs/>
          <w:color w:val="auto"/>
          <w:sz w:val="24"/>
          <w:szCs w:val="24"/>
        </w:rPr>
        <w:t>甲方：咸阳职业技术学院（公章）          乙方：                （公章）</w:t>
      </w:r>
    </w:p>
    <w:p w14:paraId="33F69F32">
      <w:pPr>
        <w:pStyle w:val="9"/>
        <w:spacing w:line="360" w:lineRule="auto"/>
        <w:ind w:firstLine="0" w:firstLineChars="0"/>
        <w:rPr>
          <w:rFonts w:hint="eastAsia" w:hAnsi="宋体" w:cs="宋体"/>
          <w:b/>
          <w:bCs/>
          <w:color w:val="auto"/>
          <w:sz w:val="24"/>
          <w:szCs w:val="24"/>
        </w:rPr>
      </w:pPr>
    </w:p>
    <w:p w14:paraId="2F3E7FD7">
      <w:pPr>
        <w:pStyle w:val="9"/>
        <w:spacing w:line="360" w:lineRule="auto"/>
        <w:ind w:firstLine="0" w:firstLineChars="0"/>
        <w:rPr>
          <w:rFonts w:hint="eastAsia" w:hAnsi="宋体" w:cs="宋体"/>
          <w:b/>
          <w:bCs/>
          <w:color w:val="auto"/>
          <w:sz w:val="24"/>
          <w:szCs w:val="24"/>
        </w:rPr>
      </w:pPr>
      <w:r>
        <w:rPr>
          <w:rFonts w:hint="eastAsia" w:hAnsi="宋体" w:cs="宋体"/>
          <w:b/>
          <w:bCs/>
          <w:color w:val="auto"/>
          <w:sz w:val="24"/>
          <w:szCs w:val="24"/>
        </w:rPr>
        <w:t>法定代表人或授权代理人（签字）：        法定代表人或授权代理人（签字）：</w:t>
      </w:r>
    </w:p>
    <w:p w14:paraId="3BD6C7B9">
      <w:pPr>
        <w:pStyle w:val="9"/>
        <w:spacing w:line="360" w:lineRule="auto"/>
        <w:ind w:firstLine="0" w:firstLineChars="0"/>
        <w:rPr>
          <w:rFonts w:hint="eastAsia" w:hAnsi="宋体" w:cs="宋体"/>
          <w:b/>
          <w:bCs/>
          <w:color w:val="auto"/>
          <w:sz w:val="24"/>
          <w:szCs w:val="24"/>
        </w:rPr>
      </w:pPr>
    </w:p>
    <w:p w14:paraId="42A44802">
      <w:pPr>
        <w:pStyle w:val="9"/>
        <w:spacing w:line="360" w:lineRule="auto"/>
        <w:ind w:firstLine="0" w:firstLineChars="0"/>
        <w:rPr>
          <w:rFonts w:hint="eastAsia" w:hAnsi="宋体" w:cs="宋体"/>
          <w:b/>
          <w:bCs/>
          <w:color w:val="auto"/>
          <w:sz w:val="24"/>
          <w:szCs w:val="24"/>
        </w:rPr>
      </w:pPr>
      <w:r>
        <w:rPr>
          <w:rFonts w:hint="eastAsia" w:hAnsi="宋体" w:cs="宋体"/>
          <w:b/>
          <w:bCs/>
          <w:color w:val="auto"/>
          <w:sz w:val="24"/>
          <w:szCs w:val="24"/>
        </w:rPr>
        <w:t>联系电话：                           联系电话：</w:t>
      </w:r>
    </w:p>
    <w:p w14:paraId="76BB8D2E">
      <w:pPr>
        <w:pStyle w:val="9"/>
        <w:spacing w:line="360" w:lineRule="auto"/>
        <w:ind w:firstLine="0" w:firstLineChars="0"/>
        <w:rPr>
          <w:rFonts w:hAnsi="宋体" w:cs="宋体"/>
          <w:b/>
          <w:bCs/>
          <w:color w:val="auto"/>
          <w:sz w:val="24"/>
          <w:szCs w:val="24"/>
        </w:rPr>
      </w:pPr>
    </w:p>
    <w:p w14:paraId="27D03EB6">
      <w:pPr>
        <w:pStyle w:val="9"/>
        <w:spacing w:line="360" w:lineRule="auto"/>
        <w:ind w:firstLine="241"/>
        <w:rPr>
          <w:rFonts w:hAnsi="宋体" w:cs="宋体"/>
          <w:b/>
          <w:bCs/>
          <w:color w:val="auto"/>
          <w:sz w:val="24"/>
          <w:szCs w:val="24"/>
        </w:rPr>
      </w:pPr>
      <w:r>
        <w:rPr>
          <w:rFonts w:hint="eastAsia" w:hAnsi="宋体" w:cs="宋体"/>
          <w:b/>
          <w:bCs/>
          <w:color w:val="auto"/>
          <w:sz w:val="24"/>
          <w:szCs w:val="24"/>
        </w:rPr>
        <w:t xml:space="preserve">合同签订时间：      年  月   日      </w:t>
      </w:r>
    </w:p>
    <w:p w14:paraId="0E93780A">
      <w:pPr>
        <w:pStyle w:val="9"/>
        <w:spacing w:line="360" w:lineRule="auto"/>
        <w:ind w:firstLine="241"/>
        <w:rPr>
          <w:rFonts w:hAnsi="宋体" w:cs="宋体"/>
          <w:b/>
          <w:bCs/>
          <w:color w:val="auto"/>
          <w:sz w:val="24"/>
          <w:szCs w:val="24"/>
        </w:rPr>
      </w:pPr>
    </w:p>
    <w:p w14:paraId="5D2E906B">
      <w:pPr>
        <w:pStyle w:val="9"/>
        <w:spacing w:line="360" w:lineRule="auto"/>
        <w:ind w:firstLine="241"/>
        <w:rPr>
          <w:rFonts w:hint="eastAsia" w:hAnsi="宋体" w:cs="宋体"/>
          <w:b/>
          <w:bCs/>
          <w:color w:val="auto"/>
          <w:sz w:val="24"/>
          <w:szCs w:val="24"/>
        </w:rPr>
      </w:pPr>
      <w:r>
        <w:rPr>
          <w:rFonts w:hint="eastAsia" w:hAnsi="宋体" w:cs="宋体"/>
          <w:b/>
          <w:bCs/>
          <w:color w:val="auto"/>
          <w:sz w:val="24"/>
          <w:szCs w:val="24"/>
        </w:rPr>
        <w:t>合同签订地点：</w:t>
      </w:r>
    </w:p>
    <w:p w14:paraId="4A93DE7A">
      <w:pPr>
        <w:pStyle w:val="9"/>
        <w:spacing w:line="360" w:lineRule="auto"/>
        <w:ind w:firstLine="241"/>
        <w:rPr>
          <w:rFonts w:hint="eastAsia" w:hAnsi="宋体" w:cs="宋体"/>
          <w:b/>
          <w:bCs/>
          <w:sz w:val="24"/>
          <w:szCs w:val="24"/>
        </w:rPr>
      </w:pPr>
    </w:p>
    <w:p w14:paraId="349444E6">
      <w:pPr>
        <w:pStyle w:val="9"/>
        <w:spacing w:line="360" w:lineRule="auto"/>
        <w:ind w:firstLine="201"/>
        <w:rPr>
          <w:rFonts w:hint="eastAsia"/>
        </w:rPr>
      </w:pPr>
      <w:r>
        <w:rPr>
          <w:rFonts w:hint="eastAsia" w:hAnsi="宋体" w:cs="宋体"/>
          <w:b/>
          <w:bCs/>
          <w:color w:val="auto"/>
        </w:rPr>
        <w:t>附件1：法定代表人授权委托书为本合同附件之一（若有）</w:t>
      </w:r>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DB48D">
    <w:pPr>
      <w:pStyle w:val="7"/>
      <w:jc w:val="right"/>
      <w:rPr>
        <w:rFonts w:ascii="宋体" w:cs="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A2A2A4">
                          <w:pPr>
                            <w:pStyle w:val="7"/>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WDns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xjiHqQ1+WKNeD8OaYsInSW64wwc6FcWKF3bxdeSUe30vWwx+1/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1fWDnscBAACZAwAADgAAAAAAAAABACAAAAAeAQAAZHJzL2Uyb0RvYy54&#10;bWxQSwUGAAAAAAYABgBZAQAAVwUAAAAA&#10;">
              <v:fill on="f" focussize="0,0"/>
              <v:stroke on="f"/>
              <v:imagedata o:title=""/>
              <o:lock v:ext="edit" aspectratio="f"/>
              <v:textbox inset="0mm,0mm,0mm,0mm" style="mso-fit-shape-to-text:t;">
                <w:txbxContent>
                  <w:p w14:paraId="54A2A2A4">
                    <w:pPr>
                      <w:pStyle w:val="7"/>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8130C">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AB5A00">
                          <w:pPr>
                            <w:pStyle w:val="7"/>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14:paraId="5EAB5A00">
                    <w:pPr>
                      <w:pStyle w:val="7"/>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44CC0">
    <w:pPr>
      <w:adjustRightInd w:val="0"/>
      <w:snapToGrid w:val="0"/>
      <w:spacing w:line="360" w:lineRule="auto"/>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Y2VlNzg2YTEyY2QyZDU1YjJiZDE2YzgyMzcyNTEifQ=="/>
  </w:docVars>
  <w:rsids>
    <w:rsidRoot w:val="00567AE1"/>
    <w:rsid w:val="0000770A"/>
    <w:rsid w:val="0001383C"/>
    <w:rsid w:val="000162C5"/>
    <w:rsid w:val="00047C88"/>
    <w:rsid w:val="00053D83"/>
    <w:rsid w:val="00055D19"/>
    <w:rsid w:val="000918D1"/>
    <w:rsid w:val="00092259"/>
    <w:rsid w:val="000971A2"/>
    <w:rsid w:val="000D39AF"/>
    <w:rsid w:val="000F5293"/>
    <w:rsid w:val="000F59B8"/>
    <w:rsid w:val="00122C0E"/>
    <w:rsid w:val="00123693"/>
    <w:rsid w:val="00162210"/>
    <w:rsid w:val="0016437C"/>
    <w:rsid w:val="001B669A"/>
    <w:rsid w:val="001E0D09"/>
    <w:rsid w:val="002114CA"/>
    <w:rsid w:val="00247B00"/>
    <w:rsid w:val="00253A9C"/>
    <w:rsid w:val="00280753"/>
    <w:rsid w:val="002C6399"/>
    <w:rsid w:val="002D0732"/>
    <w:rsid w:val="002E024B"/>
    <w:rsid w:val="002E2D8D"/>
    <w:rsid w:val="00316870"/>
    <w:rsid w:val="0035104B"/>
    <w:rsid w:val="00373607"/>
    <w:rsid w:val="00377CE1"/>
    <w:rsid w:val="003809AC"/>
    <w:rsid w:val="003F19AA"/>
    <w:rsid w:val="0042318E"/>
    <w:rsid w:val="00431A70"/>
    <w:rsid w:val="004376E0"/>
    <w:rsid w:val="00450268"/>
    <w:rsid w:val="00462956"/>
    <w:rsid w:val="00466A9C"/>
    <w:rsid w:val="00484AE6"/>
    <w:rsid w:val="004A0A02"/>
    <w:rsid w:val="004C1762"/>
    <w:rsid w:val="00503D62"/>
    <w:rsid w:val="0053537C"/>
    <w:rsid w:val="00567AE1"/>
    <w:rsid w:val="00576EBA"/>
    <w:rsid w:val="005962E4"/>
    <w:rsid w:val="005C19F8"/>
    <w:rsid w:val="005D0E6E"/>
    <w:rsid w:val="006117E8"/>
    <w:rsid w:val="00617442"/>
    <w:rsid w:val="00644725"/>
    <w:rsid w:val="006D63EC"/>
    <w:rsid w:val="006E7219"/>
    <w:rsid w:val="00715F97"/>
    <w:rsid w:val="00716B78"/>
    <w:rsid w:val="00717425"/>
    <w:rsid w:val="00742B1F"/>
    <w:rsid w:val="00764910"/>
    <w:rsid w:val="00797B5A"/>
    <w:rsid w:val="007D3F10"/>
    <w:rsid w:val="007E5DDF"/>
    <w:rsid w:val="007F0AF9"/>
    <w:rsid w:val="007F4598"/>
    <w:rsid w:val="00862D0C"/>
    <w:rsid w:val="00890113"/>
    <w:rsid w:val="008A6FAB"/>
    <w:rsid w:val="008E7946"/>
    <w:rsid w:val="009101B0"/>
    <w:rsid w:val="009137A5"/>
    <w:rsid w:val="009275BB"/>
    <w:rsid w:val="00963A2B"/>
    <w:rsid w:val="0096761A"/>
    <w:rsid w:val="00971795"/>
    <w:rsid w:val="009A5A64"/>
    <w:rsid w:val="009D15BB"/>
    <w:rsid w:val="00A402D9"/>
    <w:rsid w:val="00A528B9"/>
    <w:rsid w:val="00A60FE4"/>
    <w:rsid w:val="00AE7D97"/>
    <w:rsid w:val="00AF09CE"/>
    <w:rsid w:val="00B35C2E"/>
    <w:rsid w:val="00B47AAB"/>
    <w:rsid w:val="00B556A7"/>
    <w:rsid w:val="00BA0F5D"/>
    <w:rsid w:val="00BB2581"/>
    <w:rsid w:val="00C06D4F"/>
    <w:rsid w:val="00C15DCC"/>
    <w:rsid w:val="00C572F7"/>
    <w:rsid w:val="00CA3D26"/>
    <w:rsid w:val="00CA5235"/>
    <w:rsid w:val="00CA6CF1"/>
    <w:rsid w:val="00CC3F26"/>
    <w:rsid w:val="00CF50C5"/>
    <w:rsid w:val="00D12A3B"/>
    <w:rsid w:val="00D25A93"/>
    <w:rsid w:val="00D27554"/>
    <w:rsid w:val="00D46DD2"/>
    <w:rsid w:val="00D6710D"/>
    <w:rsid w:val="00D92670"/>
    <w:rsid w:val="00DA6961"/>
    <w:rsid w:val="00DD470E"/>
    <w:rsid w:val="00DF2040"/>
    <w:rsid w:val="00DF4AFA"/>
    <w:rsid w:val="00E342F3"/>
    <w:rsid w:val="00E57A1D"/>
    <w:rsid w:val="00E80EB0"/>
    <w:rsid w:val="00E83C0C"/>
    <w:rsid w:val="00E9033B"/>
    <w:rsid w:val="00F01878"/>
    <w:rsid w:val="00F30A06"/>
    <w:rsid w:val="00F41138"/>
    <w:rsid w:val="00FF2B37"/>
    <w:rsid w:val="036F5DF5"/>
    <w:rsid w:val="045F78F9"/>
    <w:rsid w:val="06167D98"/>
    <w:rsid w:val="07B94603"/>
    <w:rsid w:val="0AF37383"/>
    <w:rsid w:val="0E7F582B"/>
    <w:rsid w:val="115278F3"/>
    <w:rsid w:val="1A8814BB"/>
    <w:rsid w:val="2369402D"/>
    <w:rsid w:val="246D7E85"/>
    <w:rsid w:val="324C72C3"/>
    <w:rsid w:val="3CD350D5"/>
    <w:rsid w:val="3D3C45F6"/>
    <w:rsid w:val="40153DF3"/>
    <w:rsid w:val="452144FD"/>
    <w:rsid w:val="49A429E2"/>
    <w:rsid w:val="4A241912"/>
    <w:rsid w:val="55080008"/>
    <w:rsid w:val="5DE04198"/>
    <w:rsid w:val="63134364"/>
    <w:rsid w:val="63927DD1"/>
    <w:rsid w:val="78672BF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color w:val="993300"/>
      <w:kern w:val="0"/>
      <w:sz w:val="24"/>
      <w:szCs w:val="24"/>
    </w:rPr>
  </w:style>
  <w:style w:type="paragraph" w:styleId="4">
    <w:name w:val="Plain Text"/>
    <w:basedOn w:val="1"/>
    <w:link w:val="13"/>
    <w:qFormat/>
    <w:uiPriority w:val="99"/>
    <w:pPr>
      <w:spacing w:line="324" w:lineRule="auto"/>
    </w:pPr>
    <w:rPr>
      <w:rFonts w:ascii="宋体" w:hAnsi="Courier New"/>
      <w:szCs w:val="21"/>
    </w:rPr>
  </w:style>
  <w:style w:type="paragraph" w:styleId="5">
    <w:name w:val="Date"/>
    <w:basedOn w:val="1"/>
    <w:next w:val="1"/>
    <w:link w:val="14"/>
    <w:qFormat/>
    <w:uiPriority w:val="0"/>
    <w:pPr>
      <w:adjustRightInd w:val="0"/>
      <w:spacing w:line="312" w:lineRule="atLeast"/>
      <w:textAlignment w:val="baseline"/>
    </w:pPr>
    <w:rPr>
      <w:rFonts w:eastAsia="楷体_GB2312"/>
      <w:b/>
      <w:kern w:val="0"/>
      <w:szCs w:val="20"/>
    </w:rPr>
  </w:style>
  <w:style w:type="paragraph" w:styleId="6">
    <w:name w:val="Balloon Text"/>
    <w:basedOn w:val="1"/>
    <w:semiHidden/>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w:basedOn w:val="3"/>
    <w:qFormat/>
    <w:uiPriority w:val="0"/>
    <w:rPr>
      <w:rFonts w:hAnsi="宋体"/>
      <w:sz w:val="18"/>
      <w:szCs w:val="18"/>
    </w:rPr>
  </w:style>
  <w:style w:type="character" w:styleId="12">
    <w:name w:val="Hyperlink"/>
    <w:qFormat/>
    <w:uiPriority w:val="0"/>
    <w:rPr>
      <w:color w:val="0000FF"/>
      <w:u w:val="single"/>
    </w:rPr>
  </w:style>
  <w:style w:type="character" w:customStyle="1" w:styleId="13">
    <w:name w:val="纯文本 字符"/>
    <w:link w:val="4"/>
    <w:qFormat/>
    <w:uiPriority w:val="99"/>
    <w:rPr>
      <w:rFonts w:ascii="宋体" w:hAnsi="Courier New"/>
      <w:kern w:val="2"/>
      <w:sz w:val="21"/>
      <w:szCs w:val="21"/>
    </w:rPr>
  </w:style>
  <w:style w:type="character" w:customStyle="1" w:styleId="14">
    <w:name w:val="日期 字符"/>
    <w:link w:val="5"/>
    <w:qFormat/>
    <w:uiPriority w:val="0"/>
    <w:rPr>
      <w:rFonts w:eastAsia="楷体_GB2312"/>
      <w:b/>
      <w:sz w:val="21"/>
      <w:lang w:val="en-US" w:eastAsia="zh-CN" w:bidi="ar-SA"/>
    </w:rPr>
  </w:style>
  <w:style w:type="character" w:customStyle="1" w:styleId="15">
    <w:name w:val="页脚 字符"/>
    <w:link w:val="7"/>
    <w:qFormat/>
    <w:uiPriority w:val="0"/>
    <w:rPr>
      <w:kern w:val="2"/>
      <w:sz w:val="18"/>
      <w:szCs w:val="18"/>
    </w:rPr>
  </w:style>
  <w:style w:type="character" w:customStyle="1" w:styleId="16">
    <w:name w:val="页眉 字符"/>
    <w:link w:val="8"/>
    <w:qFormat/>
    <w:uiPriority w:val="0"/>
    <w:rPr>
      <w:kern w:val="2"/>
      <w:sz w:val="18"/>
      <w:szCs w:val="18"/>
    </w:rPr>
  </w:style>
  <w:style w:type="character" w:customStyle="1" w:styleId="17">
    <w:name w:val="Date Char"/>
    <w:semiHidden/>
    <w:qFormat/>
    <w:locked/>
    <w:uiPriority w:val="0"/>
    <w:rPr>
      <w:rFonts w:cs="Times New Roman"/>
      <w:sz w:val="24"/>
      <w:szCs w:val="24"/>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character" w:customStyle="1" w:styleId="19">
    <w:name w:val="标题 1 字符"/>
    <w:link w:val="20"/>
    <w:qFormat/>
    <w:uiPriority w:val="0"/>
    <w:rPr>
      <w:rFonts w:hint="eastAsia" w:ascii="宋体" w:hAnsi="宋体"/>
      <w:b/>
      <w:kern w:val="44"/>
      <w:sz w:val="48"/>
      <w:szCs w:val="48"/>
    </w:rPr>
  </w:style>
  <w:style w:type="paragraph" w:customStyle="1" w:styleId="20">
    <w:name w:val="标题 11"/>
    <w:basedOn w:val="1"/>
    <w:link w:val="19"/>
    <w:qFormat/>
    <w:uiPriority w:val="0"/>
    <w:pPr>
      <w:spacing w:beforeAutospacing="1" w:afterAutospacing="1"/>
      <w:jc w:val="left"/>
      <w:outlineLvl w:val="0"/>
    </w:pPr>
    <w:rPr>
      <w:rFonts w:hint="eastAsia" w:ascii="宋体" w:hAnsi="宋体"/>
      <w:b/>
      <w:kern w:val="44"/>
      <w:sz w:val="48"/>
      <w:szCs w:val="48"/>
    </w:rPr>
  </w:style>
  <w:style w:type="paragraph" w:styleId="21">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6264</Words>
  <Characters>6512</Characters>
  <Lines>24</Lines>
  <Paragraphs>6</Paragraphs>
  <TotalTime>0</TotalTime>
  <ScaleCrop>false</ScaleCrop>
  <LinksUpToDate>false</LinksUpToDate>
  <CharactersWithSpaces>8062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2023-03-23T07:07:00Z</dcterms:created>
  <dc:creator>闫炜</dc:creator>
  <cp:lastModifiedBy>趁早</cp:lastModifiedBy>
  <dcterms:modified xsi:type="dcterms:W3CDTF">2026-08-13T03:39:59Z</dcterms:modified>
  <dc:title>重要提示：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0D9A51DB65C14407B6DF63FD2BCFEFD3_13</vt:lpwstr>
  </property>
  <property fmtid="{D5CDD505-2E9C-101B-9397-08002B2CF9AE}" pid="4" name="KSOTemplateDocerSaveRecord">
    <vt:lpwstr>eyJoZGlkIjoiYjZiYjcxNGE4NjViOGViYzVmNDI4NDA5ZjQ4NDY4OWUiLCJ1c2VySWQiOiIyNDE1Nzk0OTUifQ==</vt:lpwstr>
  </property>
</Properties>
</file>